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23" w:rsidRPr="00057923" w:rsidRDefault="00057923" w:rsidP="00057923">
      <w:pPr>
        <w:spacing w:after="200" w:line="276" w:lineRule="auto"/>
        <w:jc w:val="both"/>
        <w:rPr>
          <w:rFonts w:ascii="Book Antiqua" w:eastAsia="Times New Roman" w:hAnsi="Book Antiqua" w:cs="Times New Roman"/>
        </w:rPr>
      </w:pPr>
    </w:p>
    <w:p w:rsidR="00057923" w:rsidRPr="00057923" w:rsidRDefault="00057923" w:rsidP="00057923">
      <w:pPr>
        <w:spacing w:after="200" w:line="276" w:lineRule="auto"/>
        <w:jc w:val="center"/>
        <w:rPr>
          <w:rFonts w:ascii="Book Antiqua" w:eastAsia="Times New Roman" w:hAnsi="Book Antiqua" w:cs="Times New Roman"/>
          <w:b/>
          <w:sz w:val="28"/>
          <w:szCs w:val="28"/>
        </w:rPr>
      </w:pPr>
      <w:r w:rsidRPr="00057923">
        <w:rPr>
          <w:rFonts w:ascii="Book Antiqua" w:eastAsia="Times New Roman" w:hAnsi="Book Antiqua" w:cs="Times New Roman"/>
          <w:b/>
          <w:sz w:val="28"/>
          <w:szCs w:val="28"/>
        </w:rPr>
        <w:t>Ministerstvo práce, sociálnych vecí a rodiny SR</w:t>
      </w:r>
    </w:p>
    <w:p w:rsidR="00057923" w:rsidRPr="00057923" w:rsidRDefault="00057923" w:rsidP="00057923">
      <w:pPr>
        <w:spacing w:after="200" w:line="276" w:lineRule="auto"/>
        <w:jc w:val="center"/>
        <w:rPr>
          <w:rFonts w:ascii="Book Antiqua" w:eastAsia="Times New Roman" w:hAnsi="Book Antiqua" w:cs="Times New Roman"/>
          <w:b/>
          <w:sz w:val="24"/>
          <w:szCs w:val="24"/>
        </w:rPr>
      </w:pPr>
      <w:r w:rsidRPr="00057923">
        <w:rPr>
          <w:rFonts w:ascii="Book Antiqua" w:eastAsia="Times New Roman" w:hAnsi="Book Antiqua" w:cs="Times New Roman"/>
          <w:b/>
          <w:sz w:val="24"/>
          <w:szCs w:val="24"/>
        </w:rPr>
        <w:t>sekcia sociálneho poistenia a dôchodkového sporenia</w:t>
      </w:r>
    </w:p>
    <w:p w:rsidR="00057923" w:rsidRPr="00057923" w:rsidRDefault="00057923" w:rsidP="00057923">
      <w:pPr>
        <w:spacing w:after="200" w:line="276" w:lineRule="auto"/>
        <w:jc w:val="center"/>
        <w:rPr>
          <w:rFonts w:ascii="Book Antiqua" w:eastAsia="Times New Roman" w:hAnsi="Book Antiqua" w:cs="Times New Roman"/>
          <w:b/>
          <w:i/>
          <w:sz w:val="24"/>
          <w:szCs w:val="24"/>
        </w:rPr>
      </w:pPr>
      <w:r w:rsidRPr="00057923">
        <w:rPr>
          <w:rFonts w:ascii="Book Antiqua" w:eastAsia="Times New Roman" w:hAnsi="Book Antiqua" w:cs="Times New Roman"/>
          <w:b/>
          <w:i/>
          <w:sz w:val="24"/>
          <w:szCs w:val="24"/>
        </w:rPr>
        <w:t>odbor analýz</w:t>
      </w:r>
    </w:p>
    <w:p w:rsidR="00057923" w:rsidRPr="00057923" w:rsidRDefault="00057923" w:rsidP="00057923">
      <w:pPr>
        <w:spacing w:after="200" w:line="276" w:lineRule="auto"/>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rPr>
      </w:pPr>
    </w:p>
    <w:p w:rsidR="00057923" w:rsidRPr="00057923" w:rsidRDefault="00057923" w:rsidP="00057923">
      <w:pPr>
        <w:spacing w:after="200" w:line="276" w:lineRule="auto"/>
        <w:jc w:val="center"/>
        <w:rPr>
          <w:rFonts w:ascii="Book Antiqua" w:eastAsia="Times New Roman" w:hAnsi="Book Antiqua" w:cs="Times New Roman"/>
          <w:b/>
          <w:sz w:val="26"/>
          <w:szCs w:val="26"/>
        </w:rPr>
      </w:pPr>
      <w:r w:rsidRPr="00057923">
        <w:rPr>
          <w:rFonts w:ascii="Book Antiqua" w:eastAsia="Times New Roman" w:hAnsi="Book Antiqua" w:cs="Times New Roman"/>
          <w:b/>
          <w:sz w:val="26"/>
          <w:szCs w:val="26"/>
        </w:rPr>
        <w:t>Analýzy k</w:t>
      </w:r>
    </w:p>
    <w:p w:rsidR="00057923" w:rsidRPr="00057923" w:rsidRDefault="00057923" w:rsidP="00057923">
      <w:pPr>
        <w:spacing w:after="200" w:line="276" w:lineRule="auto"/>
        <w:jc w:val="center"/>
        <w:rPr>
          <w:rFonts w:ascii="Book Antiqua" w:eastAsia="Times New Roman" w:hAnsi="Book Antiqua" w:cs="Times New Roman"/>
          <w:b/>
          <w:sz w:val="26"/>
          <w:szCs w:val="26"/>
        </w:rPr>
      </w:pPr>
      <w:r w:rsidRPr="00057923">
        <w:rPr>
          <w:rFonts w:ascii="Book Antiqua" w:eastAsia="Times New Roman" w:hAnsi="Book Antiqua" w:cs="Times New Roman"/>
          <w:b/>
          <w:sz w:val="26"/>
          <w:szCs w:val="26"/>
        </w:rPr>
        <w:t>Národnému programu aktívneho starnutia na roky 2014 až 2020</w:t>
      </w:r>
    </w:p>
    <w:p w:rsidR="00057923" w:rsidRPr="00057923" w:rsidRDefault="00057923" w:rsidP="00057923">
      <w:pPr>
        <w:spacing w:after="200" w:line="276" w:lineRule="auto"/>
        <w:jc w:val="center"/>
        <w:rPr>
          <w:rFonts w:ascii="Book Antiqua" w:eastAsia="Times New Roman" w:hAnsi="Book Antiqua" w:cs="Times New Roman"/>
        </w:rPr>
      </w:pPr>
    </w:p>
    <w:p w:rsidR="00057923" w:rsidRPr="00057923" w:rsidRDefault="00057923" w:rsidP="00057923">
      <w:pPr>
        <w:widowControl w:val="0"/>
        <w:suppressAutoHyphens/>
        <w:autoSpaceDN w:val="0"/>
        <w:spacing w:beforeLines="20" w:before="48" w:afterLines="40" w:after="96" w:line="20" w:lineRule="atLeast"/>
        <w:jc w:val="center"/>
        <w:textAlignment w:val="baseline"/>
        <w:rPr>
          <w:rFonts w:ascii="Book Antiqua" w:eastAsia="Times New Roman" w:hAnsi="Book Antiqua" w:cs="Times New Roman"/>
          <w:i/>
          <w:sz w:val="24"/>
          <w:szCs w:val="24"/>
        </w:rPr>
      </w:pPr>
      <w:r w:rsidRPr="00057923">
        <w:rPr>
          <w:rFonts w:ascii="Book Antiqua" w:eastAsia="Times New Roman" w:hAnsi="Book Antiqua" w:cs="Times New Roman"/>
          <w:i/>
          <w:sz w:val="24"/>
          <w:szCs w:val="24"/>
        </w:rPr>
        <w:t>Cieľ 3: Zvážiť možnosti zavedenia alternatívy k odchodu do starobného dôchodku.</w:t>
      </w:r>
    </w:p>
    <w:p w:rsidR="00057923" w:rsidRPr="00057923" w:rsidRDefault="00057923" w:rsidP="00057923">
      <w:pPr>
        <w:spacing w:after="200" w:line="276" w:lineRule="auto"/>
        <w:jc w:val="center"/>
        <w:rPr>
          <w:rFonts w:ascii="Book Antiqua" w:eastAsia="Times New Roman" w:hAnsi="Book Antiqua" w:cs="Times New Roman"/>
          <w:i/>
          <w:sz w:val="24"/>
          <w:szCs w:val="24"/>
        </w:rPr>
      </w:pPr>
    </w:p>
    <w:p w:rsidR="00057923" w:rsidRPr="00057923" w:rsidRDefault="00057923" w:rsidP="00057923">
      <w:pPr>
        <w:widowControl w:val="0"/>
        <w:suppressAutoHyphens/>
        <w:autoSpaceDN w:val="0"/>
        <w:spacing w:beforeLines="20" w:before="48" w:afterLines="40" w:after="96" w:line="20" w:lineRule="atLeast"/>
        <w:jc w:val="center"/>
        <w:textAlignment w:val="baseline"/>
        <w:rPr>
          <w:rFonts w:ascii="Book Antiqua" w:eastAsia="Times New Roman" w:hAnsi="Book Antiqua" w:cs="Times New Roman"/>
          <w:i/>
          <w:sz w:val="24"/>
          <w:szCs w:val="24"/>
        </w:rPr>
      </w:pPr>
      <w:r w:rsidRPr="00057923">
        <w:rPr>
          <w:rFonts w:ascii="Book Antiqua" w:eastAsia="Times New Roman" w:hAnsi="Book Antiqua" w:cs="Times New Roman"/>
          <w:i/>
          <w:sz w:val="24"/>
          <w:szCs w:val="24"/>
        </w:rPr>
        <w:t>Cieľ 4: Zvážiť možnosť postupného odchodu do dôchodku.</w:t>
      </w:r>
    </w:p>
    <w:p w:rsidR="00057923" w:rsidRPr="00057923" w:rsidRDefault="00057923" w:rsidP="00057923">
      <w:pPr>
        <w:spacing w:after="200" w:line="276" w:lineRule="auto"/>
        <w:jc w:val="center"/>
        <w:rPr>
          <w:rFonts w:ascii="Book Antiqua" w:eastAsia="Times New Roman" w:hAnsi="Book Antiqua" w:cs="Times New Roman"/>
          <w:i/>
          <w:sz w:val="24"/>
          <w:szCs w:val="24"/>
        </w:rPr>
      </w:pPr>
    </w:p>
    <w:p w:rsidR="00057923" w:rsidRPr="00057923" w:rsidRDefault="00057923" w:rsidP="00057923">
      <w:pPr>
        <w:widowControl w:val="0"/>
        <w:suppressAutoHyphens/>
        <w:autoSpaceDN w:val="0"/>
        <w:spacing w:beforeLines="20" w:before="48" w:afterLines="40" w:after="96" w:line="20" w:lineRule="atLeast"/>
        <w:jc w:val="center"/>
        <w:textAlignment w:val="baseline"/>
        <w:rPr>
          <w:rFonts w:ascii="Book Antiqua" w:eastAsia="Times New Roman" w:hAnsi="Book Antiqua" w:cs="Times New Roman"/>
          <w:i/>
          <w:sz w:val="24"/>
          <w:szCs w:val="24"/>
        </w:rPr>
      </w:pPr>
      <w:r w:rsidRPr="00057923">
        <w:rPr>
          <w:rFonts w:ascii="Book Antiqua" w:eastAsia="Times New Roman" w:hAnsi="Book Antiqua" w:cs="Times New Roman"/>
          <w:i/>
          <w:sz w:val="24"/>
          <w:szCs w:val="24"/>
        </w:rPr>
        <w:t>Cieľ 6: Stanoviť optimálne podmienky vyplácania doplnkového výsluhového dôchodku zo systému doplnkového dôchodkového sporenia.</w:t>
      </w:r>
    </w:p>
    <w:p w:rsidR="00057923" w:rsidRPr="00057923" w:rsidRDefault="00057923" w:rsidP="00057923">
      <w:pPr>
        <w:spacing w:after="200" w:line="276" w:lineRule="auto"/>
        <w:jc w:val="center"/>
        <w:rPr>
          <w:rFonts w:ascii="Book Antiqua" w:eastAsia="Times New Roman" w:hAnsi="Book Antiqua" w:cs="Times New Roman"/>
          <w:sz w:val="24"/>
          <w:szCs w:val="24"/>
        </w:rPr>
      </w:pPr>
    </w:p>
    <w:p w:rsidR="00057923" w:rsidRPr="00057923" w:rsidRDefault="00057923" w:rsidP="00057923">
      <w:pPr>
        <w:spacing w:after="200" w:line="276" w:lineRule="auto"/>
        <w:jc w:val="center"/>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rPr>
      </w:pPr>
    </w:p>
    <w:p w:rsidR="00057923" w:rsidRPr="00057923" w:rsidRDefault="00057923" w:rsidP="00057923">
      <w:pPr>
        <w:spacing w:after="200" w:line="276" w:lineRule="auto"/>
        <w:jc w:val="center"/>
        <w:rPr>
          <w:rFonts w:ascii="Book Antiqua" w:eastAsia="Times New Roman" w:hAnsi="Book Antiqua" w:cs="Times New Roman"/>
          <w:sz w:val="24"/>
          <w:szCs w:val="24"/>
        </w:rPr>
      </w:pPr>
      <w:r w:rsidRPr="00057923">
        <w:rPr>
          <w:rFonts w:ascii="Book Antiqua" w:eastAsia="Times New Roman" w:hAnsi="Book Antiqua" w:cs="Times New Roman"/>
          <w:sz w:val="24"/>
          <w:szCs w:val="24"/>
        </w:rPr>
        <w:t>2018</w:t>
      </w:r>
    </w:p>
    <w:p w:rsidR="00057923" w:rsidRPr="00057923" w:rsidRDefault="00057923" w:rsidP="00057923">
      <w:pPr>
        <w:spacing w:after="200" w:line="276" w:lineRule="auto"/>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rPr>
      </w:pPr>
    </w:p>
    <w:p w:rsidR="00057923" w:rsidRPr="00057923" w:rsidRDefault="00057923" w:rsidP="00057923">
      <w:pPr>
        <w:spacing w:after="200" w:line="276" w:lineRule="auto"/>
        <w:jc w:val="center"/>
        <w:rPr>
          <w:rFonts w:ascii="Book Antiqua" w:eastAsia="Times New Roman" w:hAnsi="Book Antiqua" w:cs="Times New Roman"/>
          <w:b/>
        </w:rPr>
      </w:pPr>
      <w:r w:rsidRPr="00057923">
        <w:rPr>
          <w:rFonts w:ascii="Book Antiqua" w:eastAsia="Times New Roman" w:hAnsi="Book Antiqua" w:cs="Times New Roman"/>
          <w:b/>
        </w:rPr>
        <w:lastRenderedPageBreak/>
        <w:t>Obsah</w:t>
      </w: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i/>
        </w:rPr>
        <w:t xml:space="preserve">Úvod </w:t>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1. Posúdenie možnosti pre zásadné zvýšenie minimálneho počtu rokov dôchodkového poistenia potrebných pre nárok na plný starobný dôchodok</w:t>
      </w:r>
    </w:p>
    <w:p w:rsidR="00057923" w:rsidRPr="00057923" w:rsidRDefault="00057923" w:rsidP="00057923">
      <w:pPr>
        <w:spacing w:after="200" w:line="276" w:lineRule="auto"/>
        <w:ind w:left="705"/>
        <w:jc w:val="both"/>
        <w:rPr>
          <w:rFonts w:ascii="Book Antiqua" w:eastAsia="Times New Roman" w:hAnsi="Book Antiqua" w:cs="Times New Roman"/>
          <w:i/>
        </w:rPr>
      </w:pPr>
      <w:r w:rsidRPr="00057923">
        <w:rPr>
          <w:rFonts w:ascii="Book Antiqua" w:eastAsia="Times New Roman" w:hAnsi="Book Antiqua" w:cs="Times New Roman"/>
          <w:i/>
        </w:rPr>
        <w:t>1.1 Súčasne platná legislatívna úprava, záväzky MOP a analýza vybraných štatistických údajov</w:t>
      </w:r>
    </w:p>
    <w:p w:rsidR="00057923" w:rsidRPr="00057923" w:rsidRDefault="00057923" w:rsidP="00057923">
      <w:pPr>
        <w:spacing w:after="200" w:line="276" w:lineRule="auto"/>
        <w:ind w:left="705" w:firstLine="3"/>
        <w:jc w:val="both"/>
        <w:rPr>
          <w:rFonts w:ascii="Book Antiqua" w:eastAsia="Times New Roman" w:hAnsi="Book Antiqua" w:cs="Times New Roman"/>
          <w:i/>
        </w:rPr>
      </w:pPr>
      <w:r w:rsidRPr="00057923">
        <w:rPr>
          <w:rFonts w:ascii="Book Antiqua" w:eastAsia="Times New Roman" w:hAnsi="Book Antiqua" w:cs="Times New Roman"/>
          <w:i/>
        </w:rPr>
        <w:t>1.2 Zhodnotenie praxe v krajinách EÚ a možnosť zavedenia plného a čiastočného dôchodku v dôchodkovom systéme SR</w:t>
      </w:r>
    </w:p>
    <w:p w:rsidR="00057923" w:rsidRPr="00057923" w:rsidRDefault="00057923" w:rsidP="00057923">
      <w:pPr>
        <w:spacing w:after="200" w:line="276" w:lineRule="auto"/>
        <w:ind w:left="705" w:firstLine="3"/>
        <w:jc w:val="both"/>
        <w:rPr>
          <w:rFonts w:ascii="Book Antiqua" w:eastAsia="Times New Roman" w:hAnsi="Book Antiqua" w:cs="Times New Roman"/>
          <w:i/>
        </w:rPr>
      </w:pPr>
      <w:r w:rsidRPr="00057923">
        <w:rPr>
          <w:rFonts w:ascii="Book Antiqua" w:eastAsia="Times New Roman" w:hAnsi="Book Antiqua" w:cs="Times New Roman"/>
          <w:i/>
        </w:rPr>
        <w:t>1.3 Záver ku kapitole 1</w:t>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2. Analýza možnosti stanovenia počtu rokov dôchodkového poistenia, nad ktoré by nebol ďalšou podmienkou pre nárok na plný starobný dôchodok fyzický vek.</w:t>
      </w:r>
    </w:p>
    <w:p w:rsidR="00057923" w:rsidRPr="00057923" w:rsidRDefault="00057923" w:rsidP="00057923">
      <w:pPr>
        <w:spacing w:after="200" w:line="276" w:lineRule="auto"/>
        <w:ind w:left="705"/>
        <w:jc w:val="both"/>
        <w:rPr>
          <w:rFonts w:ascii="Book Antiqua" w:eastAsia="Times New Roman" w:hAnsi="Book Antiqua" w:cs="Times New Roman"/>
          <w:i/>
        </w:rPr>
      </w:pPr>
      <w:r w:rsidRPr="00057923">
        <w:rPr>
          <w:rFonts w:ascii="Book Antiqua" w:eastAsia="Times New Roman" w:hAnsi="Book Antiqua" w:cs="Times New Roman"/>
          <w:i/>
        </w:rPr>
        <w:t>2.1 Súčasne platná legislatívna úprava a zhodnotenie praxe v EÚ</w:t>
      </w:r>
      <w:r w:rsidRPr="00057923" w:rsidDel="00742043">
        <w:rPr>
          <w:rFonts w:ascii="Book Antiqua" w:eastAsia="Times New Roman" w:hAnsi="Book Antiqua" w:cs="Times New Roman"/>
          <w:i/>
        </w:rPr>
        <w:t xml:space="preserve"> </w:t>
      </w:r>
    </w:p>
    <w:p w:rsidR="00057923" w:rsidRPr="00057923" w:rsidRDefault="00057923" w:rsidP="00057923">
      <w:pPr>
        <w:spacing w:after="200" w:line="276" w:lineRule="auto"/>
        <w:ind w:left="705"/>
        <w:jc w:val="both"/>
        <w:rPr>
          <w:rFonts w:ascii="Book Antiqua" w:eastAsia="Times New Roman" w:hAnsi="Book Antiqua" w:cs="Times New Roman"/>
          <w:i/>
        </w:rPr>
      </w:pPr>
      <w:r w:rsidRPr="00057923">
        <w:rPr>
          <w:rFonts w:ascii="Book Antiqua" w:eastAsia="Times New Roman" w:hAnsi="Book Antiqua" w:cs="Times New Roman"/>
          <w:i/>
        </w:rPr>
        <w:t>2.2 Podrobnejší pohľad na osoby odchádzajúce do predčasného starobného dôchodku</w:t>
      </w:r>
    </w:p>
    <w:p w:rsidR="00057923" w:rsidRPr="00057923" w:rsidRDefault="00057923" w:rsidP="00057923">
      <w:pPr>
        <w:spacing w:after="200" w:line="276" w:lineRule="auto"/>
        <w:ind w:left="705" w:firstLine="3"/>
        <w:jc w:val="both"/>
        <w:rPr>
          <w:rFonts w:ascii="Book Antiqua" w:eastAsia="Times New Roman" w:hAnsi="Book Antiqua" w:cs="Times New Roman"/>
          <w:i/>
        </w:rPr>
      </w:pPr>
      <w:r w:rsidRPr="00057923">
        <w:rPr>
          <w:rFonts w:ascii="Book Antiqua" w:eastAsia="Times New Roman" w:hAnsi="Book Antiqua" w:cs="Times New Roman"/>
          <w:i/>
        </w:rPr>
        <w:t xml:space="preserve">2.3 Posúdenie súčasných podmienok nároku na predčasný starobný dôchodok, návrhy na </w:t>
      </w:r>
      <w:proofErr w:type="spellStart"/>
      <w:r w:rsidRPr="00057923">
        <w:rPr>
          <w:rFonts w:ascii="Book Antiqua" w:eastAsia="Times New Roman" w:hAnsi="Book Antiqua" w:cs="Times New Roman"/>
          <w:i/>
        </w:rPr>
        <w:t>prenastavenie</w:t>
      </w:r>
      <w:proofErr w:type="spellEnd"/>
      <w:r w:rsidRPr="00057923">
        <w:rPr>
          <w:rFonts w:ascii="Book Antiqua" w:eastAsia="Times New Roman" w:hAnsi="Book Antiqua" w:cs="Times New Roman"/>
          <w:i/>
        </w:rPr>
        <w:t xml:space="preserve"> a možnosť zavedenia alternatívnej podmienky nároku na SD </w:t>
      </w:r>
    </w:p>
    <w:p w:rsidR="00057923" w:rsidRPr="00057923" w:rsidRDefault="00057923" w:rsidP="00057923">
      <w:pPr>
        <w:spacing w:after="200" w:line="276" w:lineRule="auto"/>
        <w:ind w:left="705" w:firstLine="3"/>
        <w:jc w:val="both"/>
        <w:rPr>
          <w:rFonts w:ascii="Book Antiqua" w:eastAsia="Times New Roman" w:hAnsi="Book Antiqua" w:cs="Times New Roman"/>
          <w:i/>
        </w:rPr>
      </w:pPr>
      <w:r w:rsidRPr="00057923">
        <w:rPr>
          <w:rFonts w:ascii="Book Antiqua" w:eastAsia="Times New Roman" w:hAnsi="Book Antiqua" w:cs="Times New Roman"/>
          <w:i/>
        </w:rPr>
        <w:t>2.4 Záver ku kapitole 2</w:t>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3. Zváženie možnosti postupného odchodu do dôchodku.</w:t>
      </w:r>
    </w:p>
    <w:p w:rsidR="00057923" w:rsidRPr="00057923" w:rsidRDefault="00057923" w:rsidP="00057923">
      <w:pPr>
        <w:spacing w:after="200" w:line="276" w:lineRule="auto"/>
        <w:ind w:firstLine="705"/>
        <w:jc w:val="both"/>
        <w:rPr>
          <w:rFonts w:ascii="Book Antiqua" w:eastAsia="Times New Roman" w:hAnsi="Book Antiqua" w:cs="Times New Roman"/>
          <w:i/>
        </w:rPr>
      </w:pPr>
      <w:r w:rsidRPr="00057923">
        <w:rPr>
          <w:rFonts w:ascii="Book Antiqua" w:eastAsia="Times New Roman" w:hAnsi="Book Antiqua" w:cs="Times New Roman"/>
          <w:i/>
        </w:rPr>
        <w:t xml:space="preserve">3.1 Popis možností kombinácie dôchodku a zárobku v súčasne platnej legislatívnej úprave </w:t>
      </w:r>
    </w:p>
    <w:p w:rsidR="00057923" w:rsidRPr="00057923" w:rsidRDefault="00057923" w:rsidP="00057923">
      <w:pPr>
        <w:spacing w:after="200" w:line="276" w:lineRule="auto"/>
        <w:jc w:val="both"/>
        <w:rPr>
          <w:rFonts w:ascii="Book Antiqua" w:eastAsia="Times New Roman" w:hAnsi="Book Antiqua" w:cs="Times New Roman"/>
          <w:i/>
        </w:rPr>
      </w:pPr>
      <w:r w:rsidRPr="00057923">
        <w:rPr>
          <w:rFonts w:ascii="Book Antiqua" w:eastAsia="Times New Roman" w:hAnsi="Book Antiqua" w:cs="Times New Roman"/>
          <w:i/>
        </w:rPr>
        <w:tab/>
        <w:t>3.2 Príklad prístupu Nemecka k téme flexibilného odchodu do dôchodku</w:t>
      </w:r>
    </w:p>
    <w:p w:rsidR="00057923" w:rsidRPr="00057923" w:rsidRDefault="00057923" w:rsidP="00057923">
      <w:pPr>
        <w:spacing w:after="200" w:line="276" w:lineRule="auto"/>
        <w:ind w:left="705" w:firstLine="3"/>
        <w:jc w:val="both"/>
        <w:rPr>
          <w:rFonts w:ascii="Book Antiqua" w:eastAsia="Times New Roman" w:hAnsi="Book Antiqua" w:cs="Times New Roman"/>
          <w:i/>
          <w:u w:val="single"/>
        </w:rPr>
      </w:pPr>
      <w:r w:rsidRPr="00057923">
        <w:rPr>
          <w:rFonts w:ascii="Book Antiqua" w:eastAsia="Times New Roman" w:hAnsi="Book Antiqua" w:cs="Times New Roman"/>
          <w:i/>
        </w:rPr>
        <w:t>3.3 Alternatíva k zavedeniu postupného odchodu do dôchodku</w:t>
      </w:r>
      <w:r w:rsidRPr="00057923">
        <w:rPr>
          <w:rFonts w:ascii="Book Antiqua" w:eastAsia="Times New Roman" w:hAnsi="Book Antiqua" w:cs="Times New Roman"/>
          <w:i/>
          <w:u w:val="single"/>
        </w:rPr>
        <w:t xml:space="preserve"> </w:t>
      </w:r>
    </w:p>
    <w:p w:rsidR="00057923" w:rsidRPr="00057923" w:rsidRDefault="00057923" w:rsidP="00057923">
      <w:pPr>
        <w:spacing w:after="200" w:line="276" w:lineRule="auto"/>
        <w:ind w:left="705" w:firstLine="3"/>
        <w:jc w:val="both"/>
        <w:rPr>
          <w:rFonts w:ascii="Book Antiqua" w:eastAsia="Times New Roman" w:hAnsi="Book Antiqua" w:cs="Times New Roman"/>
          <w:i/>
        </w:rPr>
      </w:pPr>
      <w:r w:rsidRPr="00057923">
        <w:rPr>
          <w:rFonts w:ascii="Book Antiqua" w:eastAsia="Times New Roman" w:hAnsi="Book Antiqua" w:cs="Times New Roman"/>
          <w:i/>
        </w:rPr>
        <w:t>3.4 Záver ku kapitole 3</w:t>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4. Stanoviť optimálne podmienky vyplácania doplnkového výsluhového dôchodku zo systému doplnkového dôchodkového sporenia.</w:t>
      </w:r>
    </w:p>
    <w:p w:rsidR="00057923" w:rsidRPr="00057923" w:rsidRDefault="00057923" w:rsidP="00057923">
      <w:pPr>
        <w:spacing w:after="200" w:line="276" w:lineRule="auto"/>
        <w:ind w:left="705"/>
        <w:jc w:val="both"/>
        <w:rPr>
          <w:rFonts w:ascii="Book Antiqua" w:eastAsia="Times New Roman" w:hAnsi="Book Antiqua" w:cs="Times New Roman"/>
          <w:i/>
        </w:rPr>
      </w:pPr>
      <w:r w:rsidRPr="00057923">
        <w:rPr>
          <w:rFonts w:ascii="Book Antiqua" w:eastAsia="Times New Roman" w:hAnsi="Book Antiqua" w:cs="Times New Roman"/>
          <w:i/>
        </w:rPr>
        <w:t xml:space="preserve">4.1 </w:t>
      </w:r>
      <w:r w:rsidRPr="00057923">
        <w:rPr>
          <w:rFonts w:ascii="Book Antiqua" w:eastAsia="Times New Roman" w:hAnsi="Book Antiqua" w:cs="Times New Roman"/>
          <w:i/>
          <w:szCs w:val="24"/>
        </w:rPr>
        <w:t>Právna úprava vzťahujúca sa na výkon rizikových prác</w:t>
      </w:r>
    </w:p>
    <w:p w:rsidR="00057923" w:rsidRPr="00057923" w:rsidRDefault="00057923" w:rsidP="00057923">
      <w:pPr>
        <w:spacing w:after="200" w:line="276" w:lineRule="auto"/>
        <w:ind w:left="705"/>
        <w:jc w:val="both"/>
        <w:rPr>
          <w:rFonts w:ascii="Book Antiqua" w:eastAsia="Times New Roman" w:hAnsi="Book Antiqua" w:cs="Times New Roman"/>
          <w:b/>
          <w:i/>
        </w:rPr>
      </w:pPr>
      <w:r w:rsidRPr="00057923">
        <w:rPr>
          <w:rFonts w:ascii="Book Antiqua" w:eastAsia="Times New Roman" w:hAnsi="Book Antiqua" w:cs="Times New Roman"/>
          <w:i/>
        </w:rPr>
        <w:t xml:space="preserve">4.2 Analýza dostupných dát o </w:t>
      </w:r>
      <w:proofErr w:type="spellStart"/>
      <w:r w:rsidRPr="00057923">
        <w:rPr>
          <w:rFonts w:ascii="Book Antiqua" w:eastAsia="Times New Roman" w:hAnsi="Book Antiqua" w:cs="Times New Roman"/>
          <w:i/>
        </w:rPr>
        <w:t>rizikároch</w:t>
      </w:r>
      <w:proofErr w:type="spellEnd"/>
      <w:r w:rsidRPr="00057923">
        <w:rPr>
          <w:rFonts w:ascii="Book Antiqua" w:eastAsia="Times New Roman" w:hAnsi="Book Antiqua" w:cs="Times New Roman"/>
          <w:b/>
          <w:i/>
        </w:rPr>
        <w:t xml:space="preserve"> </w:t>
      </w:r>
    </w:p>
    <w:p w:rsidR="00057923" w:rsidRPr="00057923" w:rsidRDefault="00057923" w:rsidP="00057923">
      <w:pPr>
        <w:spacing w:after="200" w:line="276" w:lineRule="auto"/>
        <w:ind w:left="705"/>
        <w:jc w:val="both"/>
        <w:rPr>
          <w:rFonts w:ascii="Book Antiqua" w:eastAsia="Times New Roman" w:hAnsi="Book Antiqua" w:cs="Times New Roman"/>
          <w:b/>
          <w:i/>
        </w:rPr>
      </w:pPr>
      <w:r w:rsidRPr="00057923">
        <w:rPr>
          <w:rFonts w:ascii="Book Antiqua" w:eastAsia="Times New Roman" w:hAnsi="Book Antiqua" w:cs="Times New Roman"/>
          <w:i/>
        </w:rPr>
        <w:t xml:space="preserve">4.3 Možnosti úpravy DDS vzhľadom na </w:t>
      </w:r>
      <w:proofErr w:type="spellStart"/>
      <w:r w:rsidRPr="00057923">
        <w:rPr>
          <w:rFonts w:ascii="Book Antiqua" w:eastAsia="Times New Roman" w:hAnsi="Book Antiqua" w:cs="Times New Roman"/>
          <w:i/>
        </w:rPr>
        <w:t>rizikárov</w:t>
      </w:r>
      <w:proofErr w:type="spellEnd"/>
      <w:r w:rsidRPr="00057923">
        <w:rPr>
          <w:rFonts w:ascii="Book Antiqua" w:eastAsia="Times New Roman" w:hAnsi="Book Antiqua" w:cs="Times New Roman"/>
          <w:i/>
        </w:rPr>
        <w:t xml:space="preserve"> súvisiace s ich zabezpečením po skončení výkonu rizikových prác a úpravy podmienok vyplácania doplnkového výsluhového dôchodku</w:t>
      </w:r>
    </w:p>
    <w:p w:rsidR="00057923" w:rsidRPr="00057923" w:rsidRDefault="00057923" w:rsidP="00057923">
      <w:pPr>
        <w:spacing w:after="200" w:line="276" w:lineRule="auto"/>
        <w:ind w:left="705" w:firstLine="3"/>
        <w:jc w:val="both"/>
        <w:rPr>
          <w:rFonts w:ascii="Book Antiqua" w:eastAsia="Times New Roman" w:hAnsi="Book Antiqua" w:cs="Times New Roman"/>
          <w:i/>
        </w:rPr>
      </w:pPr>
      <w:r w:rsidRPr="00057923">
        <w:rPr>
          <w:rFonts w:ascii="Book Antiqua" w:eastAsia="Times New Roman" w:hAnsi="Book Antiqua" w:cs="Times New Roman"/>
          <w:i/>
        </w:rPr>
        <w:t>4.4 Záver ku kapitole 4</w:t>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5. Príloha</w:t>
      </w: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sz w:val="24"/>
          <w:szCs w:val="24"/>
        </w:rPr>
        <w:lastRenderedPageBreak/>
        <w:t xml:space="preserve">Úvod </w:t>
      </w:r>
    </w:p>
    <w:p w:rsidR="00057923" w:rsidRPr="00057923" w:rsidRDefault="00057923" w:rsidP="00057923">
      <w:pPr>
        <w:spacing w:after="200" w:line="276" w:lineRule="auto"/>
        <w:ind w:firstLine="708"/>
        <w:jc w:val="both"/>
        <w:rPr>
          <w:rFonts w:ascii="Book Antiqua" w:eastAsia="Times New Roman" w:hAnsi="Book Antiqua" w:cs="Times New Roman"/>
          <w:i/>
        </w:rPr>
      </w:pPr>
      <w:r w:rsidRPr="00057923">
        <w:rPr>
          <w:rFonts w:ascii="Book Antiqua" w:eastAsia="Times New Roman" w:hAnsi="Book Antiqua" w:cs="Times New Roman"/>
        </w:rPr>
        <w:t xml:space="preserve">Národný program aktívneho starnutia 2014 až 2020 bol schválený vládou SR v decembri 2013, pričom ide o prvý komplexný materiál, ktorý sa venuje problematike aktívneho starnutia na dlhšie obdobie. Pre jednotlivé oblasti v ňom boli zadefinované určité ciele, resp. zavedená povinnosť analyzovania určitých alternatívnych úprav v porovnaní so súčasným právnym stavom.  Tromi takýmito úlohami okrem iného sú </w:t>
      </w:r>
      <w:r w:rsidRPr="00057923">
        <w:rPr>
          <w:rFonts w:ascii="Book Antiqua" w:eastAsia="Times New Roman" w:hAnsi="Book Antiqua" w:cs="Times New Roman"/>
          <w:i/>
        </w:rPr>
        <w:t xml:space="preserve">„Zvážiť možnosti alternatívy k odchodu do starobného dôchodku (v rámci toho </w:t>
      </w:r>
      <w:r w:rsidRPr="00057923">
        <w:rPr>
          <w:rFonts w:ascii="Book Antiqua" w:eastAsia="Times New Roman" w:hAnsi="Book Antiqua" w:cs="Times New Roman"/>
        </w:rPr>
        <w:t>„</w:t>
      </w:r>
      <w:r w:rsidRPr="00057923">
        <w:rPr>
          <w:rFonts w:ascii="Book Antiqua" w:eastAsia="Times New Roman" w:hAnsi="Book Antiqua" w:cs="Times New Roman"/>
          <w:i/>
        </w:rPr>
        <w:t xml:space="preserve">Analyzovať možnosti pre zásadné zvýšenie minimálneho počtu rokov dôchodkového poistenia potrebných pre nárok na plný starobný dôchodok až na úroveň 30 rokov.“ a </w:t>
      </w:r>
      <w:r w:rsidRPr="00057923">
        <w:rPr>
          <w:rFonts w:ascii="Book Antiqua" w:eastAsia="Times New Roman" w:hAnsi="Book Antiqua" w:cs="Times New Roman"/>
        </w:rPr>
        <w:t>„</w:t>
      </w:r>
      <w:r w:rsidRPr="00057923">
        <w:rPr>
          <w:rFonts w:ascii="Book Antiqua" w:eastAsia="Times New Roman" w:hAnsi="Book Antiqua" w:cs="Times New Roman"/>
          <w:i/>
        </w:rPr>
        <w:t>Stanoviť počet rokov dôchodkového poistenia, nad ktoré nebude ďalšou podmienkou pre nárok na plný starobný dôchodok fyzický vek.</w:t>
      </w:r>
      <w:r w:rsidRPr="00057923">
        <w:rPr>
          <w:rFonts w:ascii="Book Antiqua" w:eastAsia="Times New Roman" w:hAnsi="Book Antiqua" w:cs="Times New Roman"/>
        </w:rPr>
        <w:t>“)</w:t>
      </w:r>
      <w:r w:rsidRPr="00057923">
        <w:rPr>
          <w:rFonts w:ascii="Book Antiqua" w:eastAsia="Times New Roman" w:hAnsi="Book Antiqua" w:cs="Times New Roman"/>
          <w:i/>
        </w:rPr>
        <w:t xml:space="preserve">; „Zvážiť možnosť postupného odchodu do dôchodku“ a „Stanoviť optimálne podmienky vyplácania doplnkového výsluhového dôchodku zo systému doplnkového dôchodkového sporenia.“.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V kontexte vyššie uvedeného upozorňujeme, že v súčasnosti dochádza k ďalšiemu predlžovaniu dôchodkového veku v súlade so zmenou v strednej dĺžke dožitia. Dôchodkový vek je pre rok 2018 ustanovený na 62 rokov a 139 dní  a pre rok 2019 bude na úrovni 62 rokov a 202 dní. Aj s prihliadnutím na tento trend dochádza zo strany odbornej, ale najmä laickej verejnosti k používaniu argumentov súvisiacich s nízkou pravdepodobnosťou dožitia sa dôchodkového veku v zdravých rokoch, fyzické opotrebenie pracovníkov sťažujúce získanie dlhšej pracovnej kariéry, ale aj potrebu starostlivosti o blízku fyzickú osobu. Tieto argumenty následne vedú k požiadavkám na zjemnenie podmienok nároku na predčasný starobný dôchodok alebo zavedenie alternatívnych dôchodkových produktov, ktoré by umožňovali napr. postupný/čiastočný odchod.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Uvedené potvrdzujú aj niektoré prieskumy, podľa ktorých by takmer až dve tretiny občanov EÚ dali prednosť kombinácii čiastočného odchodu do dôchodku s čiastočným úväzkom pred plným odchodom do dôchodku. Prieskum podpory zamestnávateľov bol realizovaný len v 8 členských krajinách EÚ, pričom takmer až tri štvrtiny zamestnávateľov bolo naklonených opatreniam umožňujúcim čiastočný odchod alebo určité premostenie medzi zamestnaním a odchodom do dôchodku, inými slovami kombinovať dôchodok s výkonom pracovnej činnosti (</w:t>
      </w:r>
      <w:proofErr w:type="spellStart"/>
      <w:r w:rsidRPr="00057923">
        <w:rPr>
          <w:rFonts w:ascii="Book Antiqua" w:eastAsia="Times New Roman" w:hAnsi="Book Antiqua" w:cs="Times New Roman"/>
        </w:rPr>
        <w:t>Eurofound</w:t>
      </w:r>
      <w:proofErr w:type="spellEnd"/>
      <w:r w:rsidRPr="00057923">
        <w:rPr>
          <w:rFonts w:ascii="Book Antiqua" w:eastAsia="Times New Roman" w:hAnsi="Book Antiqua" w:cs="Times New Roman"/>
          <w:vertAlign w:val="superscript"/>
        </w:rPr>
        <w:footnoteReference w:id="1"/>
      </w:r>
      <w:r w:rsidRPr="00057923">
        <w:rPr>
          <w:rFonts w:ascii="Book Antiqua" w:eastAsia="Times New Roman" w:hAnsi="Book Antiqua" w:cs="Times New Roman"/>
        </w:rPr>
        <w:t xml:space="preserve">).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Z medzinárodného hľadiska treba pripomenúť, že Slovensko  </w:t>
      </w:r>
      <w:r w:rsidRPr="00057923">
        <w:rPr>
          <w:rFonts w:ascii="Book Antiqua" w:eastAsia="Times New Roman" w:hAnsi="Book Antiqua" w:cs="Times New Roman"/>
          <w:i/>
        </w:rPr>
        <w:t>sa v EÚ zaraďuje medzi krajiny s nižším  dôchodkovým vekom</w:t>
      </w:r>
      <w:r w:rsidRPr="00057923">
        <w:rPr>
          <w:rFonts w:ascii="Book Antiqua" w:eastAsia="Times New Roman" w:hAnsi="Book Antiqua" w:cs="Times New Roman"/>
        </w:rPr>
        <w:t>. V roku 2017 dosahoval na Slovensku dôchodkový vek 62,21 roka u mužov a 59 – 62,21 roka u žien v závislosti od počtu vychovaných detí. Pre porovnanie priemerný dôchodkový vek mužov v krajinách EÚ-28 bol v roku 2017 na úrovni cca 64,7 roka a priemerný dôchodkový vek žien na úrovni cca 63,7 roka. Na druhej strane zaostávame v miere zamestnanosti starších (55 až 64 ročných), kde dosahujeme 56,6% u mužov a 49,6% u žien oproti priemeru EÚ 63,7% u mužov a 50,9% u žien</w:t>
      </w:r>
      <w:r w:rsidRPr="00057923">
        <w:rPr>
          <w:rFonts w:ascii="Book Antiqua" w:eastAsia="Times New Roman" w:hAnsi="Book Antiqua" w:cs="Times New Roman"/>
          <w:vertAlign w:val="superscript"/>
        </w:rPr>
        <w:footnoteReference w:id="2"/>
      </w:r>
      <w:r w:rsidRPr="00057923">
        <w:rPr>
          <w:rFonts w:ascii="Book Antiqua" w:eastAsia="Times New Roman" w:hAnsi="Book Antiqua" w:cs="Times New Roman"/>
        </w:rPr>
        <w:t>. Obdobne dosahujeme nižšiu strednú dĺžku dožitia 17,2 roka vo veku 62 rokov u mužov a 21,7 roka u žien, pričom priemer EÚ predstavuje 20,4 roka u mužov a 24,1 roka u žien</w:t>
      </w:r>
      <w:r w:rsidRPr="00057923">
        <w:rPr>
          <w:rFonts w:ascii="Book Antiqua" w:eastAsia="Times New Roman" w:hAnsi="Book Antiqua" w:cs="Times New Roman"/>
          <w:vertAlign w:val="superscript"/>
        </w:rPr>
        <w:footnoteReference w:id="3"/>
      </w:r>
      <w:r w:rsidRPr="00057923">
        <w:rPr>
          <w:rFonts w:ascii="Book Antiqua" w:eastAsia="Times New Roman" w:hAnsi="Book Antiqua" w:cs="Times New Roman"/>
        </w:rPr>
        <w:t xml:space="preserve">. Pri ukazovateli </w:t>
      </w:r>
      <w:r w:rsidRPr="00057923">
        <w:rPr>
          <w:rFonts w:ascii="Book Antiqua" w:eastAsia="Times New Roman" w:hAnsi="Book Antiqua" w:cs="Times New Roman"/>
        </w:rPr>
        <w:lastRenderedPageBreak/>
        <w:t>zdravé roky života dosahujeme najnižšiu hodnotu zo všetkých krajín EÚ vo veku 65 rokov, konkrétne 4,5 roka u mužov a 4,2 roka u žien, pričom priemer EÚ predstavuje 9,8 roka u mužov a 10,1 roka žien</w:t>
      </w:r>
      <w:r w:rsidRPr="00057923">
        <w:rPr>
          <w:rFonts w:ascii="Book Antiqua" w:eastAsia="Times New Roman" w:hAnsi="Book Antiqua" w:cs="Times New Roman"/>
          <w:vertAlign w:val="superscript"/>
        </w:rPr>
        <w:t>3</w:t>
      </w:r>
      <w:r w:rsidRPr="00057923">
        <w:rPr>
          <w:rFonts w:ascii="Book Antiqua" w:eastAsia="Times New Roman" w:hAnsi="Book Antiqua" w:cs="Times New Roman"/>
        </w:rPr>
        <w:t>. Zhrnutie týchto štatistík nie je jednoduché, nakoľko nižší dôchodkový vek môže byť vnímaný verejnosťou pozitívne, avšak vplýva na nižšiu zamestnanosť starších, čo môže byť naopak kritizované a argumentáciu pre nižší dôchodkový vek môžeme nájsť práve v kratšej strednej dĺžke života v určitom veku, ako aj v nízkej kvalite zdravia strávenom na dôchodku. Navyše, k interpretácii indikátorov zdravých rokov života treba pristupovať špeciálne opatrne, keďže za Slovensko nemáme k dispozícii žiadne „</w:t>
      </w:r>
      <w:proofErr w:type="spellStart"/>
      <w:r w:rsidRPr="00057923">
        <w:rPr>
          <w:rFonts w:ascii="Book Antiqua" w:eastAsia="Times New Roman" w:hAnsi="Book Antiqua" w:cs="Times New Roman"/>
        </w:rPr>
        <w:t>hard</w:t>
      </w:r>
      <w:proofErr w:type="spellEnd"/>
      <w:r w:rsidRPr="00057923">
        <w:rPr>
          <w:rFonts w:ascii="Book Antiqua" w:eastAsia="Times New Roman" w:hAnsi="Book Antiqua" w:cs="Times New Roman"/>
        </w:rPr>
        <w:t xml:space="preserve">“ dáta, ani výstupy </w:t>
      </w:r>
      <w:proofErr w:type="spellStart"/>
      <w:r w:rsidRPr="00057923">
        <w:rPr>
          <w:rFonts w:ascii="Book Antiqua" w:eastAsia="Times New Roman" w:hAnsi="Book Antiqua" w:cs="Times New Roman"/>
        </w:rPr>
        <w:t>longitudinálnych</w:t>
      </w:r>
      <w:proofErr w:type="spellEnd"/>
      <w:r w:rsidRPr="00057923">
        <w:rPr>
          <w:rFonts w:ascii="Book Antiqua" w:eastAsia="Times New Roman" w:hAnsi="Book Antiqua" w:cs="Times New Roman"/>
        </w:rPr>
        <w:t xml:space="preserve"> zisťovaní, iba výsledky zisťovania EU-SILC vychádzajúce zo subjektívnych odpovedí na otázky z dotazníka.</w:t>
      </w: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Cieľom predmetnej analýzy je posúdiť súčasné podmienky a flexibilitu možnosti skoršieho, resp. neskoršieho odchodu do dôchodku a nastavenia súbežného poberania dôchodku a zárobku. Ďalšou úlohou je  na základe existujúcich štatistických údajov zhodnotiť oprávnenosť argumentov na zavedenie dodatočných/alternatívnych možností odchodu do dôchodku a popísať tieto možnosti vrátane poukázania na ich výhody, resp. nevýhody. Materiál obsahuje aj medzinárodné prehľady, ktoré mapujú skúsenosti iných členských krajín Európskej únie a poskytujú porovnanie vybraných štatistických údajov. </w:t>
      </w: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b/>
          <w:sz w:val="24"/>
          <w:szCs w:val="24"/>
        </w:rPr>
      </w:pPr>
      <w:r w:rsidRPr="00057923">
        <w:rPr>
          <w:rFonts w:ascii="Book Antiqua" w:eastAsia="Times New Roman" w:hAnsi="Book Antiqua" w:cs="Times New Roman"/>
          <w:b/>
          <w:sz w:val="24"/>
          <w:szCs w:val="24"/>
        </w:rPr>
        <w:t>1. Posúdenie možnosti pre zásadné zvýšenie minimálneho počtu rokov dôchodkového poistenia potrebných pre nárok na plný starobný dôchodok</w:t>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1.1 Súčasne platná legislatívna úprava, záväzky MOP a zhodnotenie vybraných štatistických údajov</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V súčasnosti je podmienkou nároku na odchod do starobného dôchodku dovŕšenie dôchodkového veku a získanie najmenej 15 rokov dôchodkového poistenia.  Za zmienku stojí skutočnosť, že do 31. decembra 2007 bolo získanie starobného dôchodku podmienené iba získaním 10 rokov dôchodkového poistenia, pričom predĺženie na 15 rokov bolo zdôvodnené v súvislosti s problematikou nízkych dôchodkov a skutočnosťou, že poistenie na dôchodok by malo byť </w:t>
      </w:r>
      <w:proofErr w:type="spellStart"/>
      <w:r w:rsidRPr="00057923">
        <w:rPr>
          <w:rFonts w:ascii="Book Antiqua" w:eastAsia="Times New Roman" w:hAnsi="Book Antiqua" w:cs="Times New Roman"/>
        </w:rPr>
        <w:t>dlhodobejšou</w:t>
      </w:r>
      <w:proofErr w:type="spellEnd"/>
      <w:r w:rsidRPr="00057923">
        <w:rPr>
          <w:rFonts w:ascii="Book Antiqua" w:eastAsia="Times New Roman" w:hAnsi="Book Antiqua" w:cs="Times New Roman"/>
        </w:rPr>
        <w:t xml:space="preserve"> záležitosťou.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Od 1. júla 2015 bolo ako forma ochrany dôchodcu ako jednotlivca pred spadnutím do hmotnej núdze zavedené zvýšenie sumy starobného dôchodku, resp. invalidného dôchodku po dovŕšení dôchodkového veku na tzv. minimálnu sumu dôchodku. Nárok na tento „doplatok“ je podmienený získaním najmenej 30 kvalifikovaných rokov dôchodkového poistenia (za kvalifikované roky sa považujú iba tie roky dôchodkového poistenia, počas ktorých bol príjem fyzickej osoby minimálne na úrovni osobného mzdového bodu 0,241 s výnimkou rokov v cudzine a rokov dosiahnutých pred rokom 1993, ktoré sa považujú automaticky ako kvalifikované).  </w:t>
      </w: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Medzi Dohovory MOP, ktorými je Slovenská republika viazaná patrí aj Dohovor MOP o minimálnych normách v sociálnom zabezpečení č. 102 z roku 1952. Predmetný dohovor v čl. 18 uvádza, že </w:t>
      </w:r>
      <w:r w:rsidRPr="00057923">
        <w:rPr>
          <w:rFonts w:ascii="Book Antiqua" w:eastAsia="Times New Roman" w:hAnsi="Book Antiqua" w:cs="Times New Roman"/>
          <w:lang w:eastAsia="sk-SK" w:bidi="ml-IN"/>
        </w:rPr>
        <w:t xml:space="preserve">ak závisí poskytnutie starobnej dávky od splnenia určitej minimálnej príspevkovej doby alebo zamestnania, krátená dávka by mala byť zabezpečená aspoň pri </w:t>
      </w:r>
      <w:r w:rsidRPr="00057923">
        <w:rPr>
          <w:rFonts w:ascii="Book Antiqua" w:eastAsia="Times New Roman" w:hAnsi="Book Antiqua" w:cs="Times New Roman"/>
          <w:lang w:eastAsia="sk-SK" w:bidi="ml-IN"/>
        </w:rPr>
        <w:lastRenderedPageBreak/>
        <w:t>získaní 15 rokov prispievania alebo zamestnania. A</w:t>
      </w:r>
      <w:r w:rsidRPr="00057923">
        <w:rPr>
          <w:rFonts w:ascii="Book Antiqua" w:eastAsia="Times New Roman" w:hAnsi="Book Antiqua" w:cs="Times New Roman"/>
        </w:rPr>
        <w:t xml:space="preserve">k by sme teda chceli predĺžiť minimálny počet rokov dôchodkového poistenia najmenej na 30 rokov a naďalej  spĺňať vyššie uvedenú normu MOP, museli by sme zaviesť čiastočný/pomerný starobný dôchodok dostupný pri získaní 15 rokov dôchodkového poistenia. Ak by sme odstúpili alebo nedodržiavali MOP, mohli by sme ponechať súčasnú konštrukciu s tým, že osoby, ktoré by získali napr. menej ako 30 rokov dôchodkového poistenia by boli odkázané na hmotnú núdzu. Išlo by však o politicky veľmi kontroverzné riešenie. </w:t>
      </w: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lang w:eastAsia="sk-SK" w:bidi="ml-IN"/>
        </w:rPr>
      </w:pPr>
      <w:r w:rsidRPr="00057923">
        <w:rPr>
          <w:rFonts w:ascii="Book Antiqua" w:eastAsia="Times New Roman" w:hAnsi="Book Antiqua" w:cs="Times New Roman"/>
        </w:rPr>
        <w:t xml:space="preserve">Nasledujúca časť materiálu poskytuje pohľad na vybrané štatistické údaje a snaží sa poukázať na určité trendy v tejto oblasti. </w:t>
      </w:r>
    </w:p>
    <w:p w:rsidR="00057923" w:rsidRPr="00057923" w:rsidRDefault="00057923" w:rsidP="00057923">
      <w:pPr>
        <w:spacing w:after="0" w:line="276" w:lineRule="auto"/>
        <w:jc w:val="both"/>
        <w:rPr>
          <w:rFonts w:ascii="Book Antiqua" w:eastAsia="Times New Roman" w:hAnsi="Book Antiqua" w:cs="Times New Roman"/>
          <w:lang w:eastAsia="sk-SK" w:bidi="ml-IN"/>
        </w:rPr>
      </w:pPr>
    </w:p>
    <w:p w:rsidR="00057923" w:rsidRPr="00057923" w:rsidRDefault="00057923" w:rsidP="00057923">
      <w:pPr>
        <w:spacing w:after="0" w:line="276" w:lineRule="auto"/>
        <w:jc w:val="both"/>
        <w:rPr>
          <w:rFonts w:ascii="Book Antiqua" w:eastAsia="Times New Roman" w:hAnsi="Book Antiqua" w:cs="Times New Roman"/>
        </w:rPr>
      </w:pPr>
      <w:r w:rsidRPr="00057923">
        <w:rPr>
          <w:rFonts w:ascii="Book Antiqua" w:eastAsia="Times New Roman" w:hAnsi="Book Antiqua" w:cs="Times New Roman"/>
          <w:b/>
        </w:rPr>
        <w:t>Graf 1</w:t>
      </w:r>
      <w:r w:rsidRPr="00057923">
        <w:rPr>
          <w:rFonts w:ascii="Book Antiqua" w:eastAsia="Times New Roman" w:hAnsi="Book Antiqua" w:cs="Times New Roman"/>
        </w:rPr>
        <w:t>: Priemerné obdobie dôchodkového poistenia novopriznaných starobných dôchodcov od roku 2004 podľa pohlavia</w:t>
      </w:r>
    </w:p>
    <w:p w:rsidR="00057923" w:rsidRPr="00057923" w:rsidRDefault="00057923" w:rsidP="00057923">
      <w:pPr>
        <w:spacing w:after="0" w:line="276" w:lineRule="auto"/>
        <w:jc w:val="both"/>
        <w:rPr>
          <w:rFonts w:ascii="Book Antiqua" w:eastAsia="Times New Roman" w:hAnsi="Book Antiqua" w:cs="Times New Roman"/>
          <w:lang w:eastAsia="sk-SK" w:bidi="ml-IN"/>
        </w:rPr>
      </w:pPr>
    </w:p>
    <w:p w:rsidR="00057923" w:rsidRPr="00057923" w:rsidRDefault="00057923" w:rsidP="00057923">
      <w:pPr>
        <w:spacing w:after="0" w:line="276" w:lineRule="auto"/>
        <w:jc w:val="both"/>
        <w:rPr>
          <w:rFonts w:ascii="Book Antiqua" w:eastAsia="Times New Roman" w:hAnsi="Book Antiqua" w:cs="Times New Roman"/>
          <w:i/>
        </w:rPr>
      </w:pPr>
      <w:r w:rsidRPr="00057923">
        <w:rPr>
          <w:rFonts w:ascii="Book Antiqua" w:eastAsia="Times New Roman" w:hAnsi="Book Antiqua" w:cs="Times New Roman"/>
          <w:noProof/>
          <w:lang w:eastAsia="sk-SK"/>
        </w:rPr>
        <w:drawing>
          <wp:inline distT="0" distB="0" distL="0" distR="0">
            <wp:extent cx="5656580" cy="2157095"/>
            <wp:effectExtent l="0" t="0" r="1270" b="14605"/>
            <wp:docPr id="17" name="Graf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057923">
        <w:rPr>
          <w:rFonts w:ascii="Book Antiqua" w:eastAsia="Times New Roman" w:hAnsi="Book Antiqua" w:cs="Times New Roman"/>
          <w:i/>
          <w:sz w:val="20"/>
          <w:szCs w:val="20"/>
        </w:rPr>
        <w:t>Zdroj: Sociálna poisťovňa</w:t>
      </w:r>
    </w:p>
    <w:p w:rsidR="00057923" w:rsidRPr="00057923" w:rsidRDefault="00057923" w:rsidP="00057923">
      <w:pPr>
        <w:spacing w:after="0" w:line="276" w:lineRule="auto"/>
        <w:jc w:val="both"/>
        <w:rPr>
          <w:rFonts w:ascii="Book Antiqua" w:eastAsia="Times New Roman" w:hAnsi="Book Antiqua" w:cs="Times New Roman"/>
          <w:lang w:eastAsia="sk-SK" w:bidi="ml-IN"/>
        </w:rPr>
      </w:pPr>
    </w:p>
    <w:p w:rsidR="00057923" w:rsidRPr="00057923" w:rsidRDefault="00057923" w:rsidP="00057923">
      <w:pPr>
        <w:spacing w:after="0" w:line="276" w:lineRule="auto"/>
        <w:jc w:val="both"/>
        <w:rPr>
          <w:rFonts w:ascii="Book Antiqua" w:eastAsia="Times New Roman" w:hAnsi="Book Antiqua" w:cs="Times New Roman"/>
          <w:b/>
        </w:rPr>
      </w:pPr>
      <w:r w:rsidRPr="00057923">
        <w:rPr>
          <w:rFonts w:ascii="Book Antiqua" w:eastAsia="Times New Roman" w:hAnsi="Book Antiqua" w:cs="Times New Roman"/>
          <w:b/>
        </w:rPr>
        <w:t xml:space="preserve">Graf  2:  </w:t>
      </w:r>
      <w:r w:rsidRPr="00057923">
        <w:rPr>
          <w:rFonts w:ascii="Book Antiqua" w:eastAsia="Times New Roman" w:hAnsi="Book Antiqua" w:cs="Times New Roman"/>
        </w:rPr>
        <w:t>Priemerný vek odchodu do dôchodku novopriznaných starobných dôchodcov od roku 2004 podľa pohlavia</w:t>
      </w:r>
    </w:p>
    <w:p w:rsidR="00057923" w:rsidRPr="00057923" w:rsidRDefault="00057923" w:rsidP="00057923">
      <w:pPr>
        <w:spacing w:after="0" w:line="276" w:lineRule="auto"/>
        <w:jc w:val="both"/>
        <w:rPr>
          <w:rFonts w:ascii="Book Antiqua" w:eastAsia="Times New Roman" w:hAnsi="Book Antiqua" w:cs="Times New Roman"/>
          <w:lang w:eastAsia="sk-SK" w:bidi="ml-IN"/>
        </w:rPr>
      </w:pPr>
    </w:p>
    <w:p w:rsidR="00057923" w:rsidRPr="00057923" w:rsidRDefault="00057923" w:rsidP="00057923">
      <w:pPr>
        <w:spacing w:after="0" w:line="276" w:lineRule="auto"/>
        <w:jc w:val="both"/>
        <w:rPr>
          <w:rFonts w:ascii="Book Antiqua" w:eastAsia="Times New Roman" w:hAnsi="Book Antiqua" w:cs="Times New Roman"/>
          <w:i/>
        </w:rPr>
      </w:pPr>
      <w:r w:rsidRPr="00057923">
        <w:rPr>
          <w:rFonts w:ascii="Book Antiqua" w:eastAsia="Times New Roman" w:hAnsi="Book Antiqua" w:cs="Times New Roman"/>
          <w:noProof/>
          <w:lang w:eastAsia="sk-SK"/>
        </w:rPr>
        <w:drawing>
          <wp:inline distT="0" distB="0" distL="0" distR="0">
            <wp:extent cx="5751830" cy="2528570"/>
            <wp:effectExtent l="0" t="0" r="1270" b="5080"/>
            <wp:docPr id="16" name="Graf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57923">
        <w:rPr>
          <w:rFonts w:ascii="Book Antiqua" w:eastAsia="Times New Roman" w:hAnsi="Book Antiqua" w:cs="Times New Roman"/>
          <w:i/>
          <w:sz w:val="20"/>
          <w:szCs w:val="20"/>
        </w:rPr>
        <w:t>Zdroj: Sociálna poisťovňa</w:t>
      </w:r>
    </w:p>
    <w:p w:rsidR="00057923" w:rsidRPr="00057923" w:rsidRDefault="00057923" w:rsidP="00057923">
      <w:pPr>
        <w:spacing w:after="0" w:line="276" w:lineRule="auto"/>
        <w:jc w:val="both"/>
        <w:rPr>
          <w:rFonts w:ascii="Book Antiqua" w:eastAsia="Times New Roman" w:hAnsi="Book Antiqua" w:cs="Times New Roman"/>
          <w:lang w:eastAsia="sk-SK" w:bidi="ml-IN"/>
        </w:rPr>
      </w:pP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lastRenderedPageBreak/>
        <w:t xml:space="preserve">Na základe grafov 1 a 2 môžeme konštatovať, že v rokoch 2004 až 2016 </w:t>
      </w:r>
      <w:r w:rsidRPr="00057923">
        <w:rPr>
          <w:rFonts w:ascii="Book Antiqua" w:eastAsia="Times New Roman" w:hAnsi="Book Antiqua" w:cs="Times New Roman"/>
          <w:b/>
        </w:rPr>
        <w:t>sa výrazne zvýšilo priemerné obdobie dôchodkového poistenia a najmä u žien aj priemerný vek odchodu do starobného dôchodku</w:t>
      </w:r>
      <w:r w:rsidRPr="00057923">
        <w:rPr>
          <w:rFonts w:ascii="Book Antiqua" w:eastAsia="Times New Roman" w:hAnsi="Book Antiqua" w:cs="Times New Roman"/>
        </w:rPr>
        <w:t xml:space="preserve">, ktoré získali osoby pri odchode do starobného dôchodku. Tento vývoj bol spôsobený predlžovaním dôchodkového veku, a to najmä dôchodkového veku žien. Tým sa v tomto období predlžoval/predlžuje dôchodkový vek každý rok o 9 mesiacov v závislosti od počtu vychovaných detí.  Predlžovanie dôchodkového veku u žien viedlo od roku 2005 k nárastu ich priemerného veku odchodu do dôchodku </w:t>
      </w:r>
      <w:r w:rsidRPr="00057923">
        <w:rPr>
          <w:rFonts w:ascii="Book Antiqua" w:eastAsia="Times New Roman" w:hAnsi="Book Antiqua" w:cs="Times New Roman"/>
          <w:b/>
        </w:rPr>
        <w:t>o 4 roky</w:t>
      </w:r>
      <w:r w:rsidRPr="00057923">
        <w:rPr>
          <w:rFonts w:ascii="Book Antiqua" w:eastAsia="Times New Roman" w:hAnsi="Book Antiqua" w:cs="Times New Roman"/>
        </w:rPr>
        <w:t xml:space="preserve">. Výrazný nárast môžeme u žien sledovať aj v náraste priemerného obdobia dôchodkového poistenia z hodnôt </w:t>
      </w:r>
      <w:r w:rsidRPr="00057923">
        <w:rPr>
          <w:rFonts w:ascii="Book Antiqua" w:eastAsia="Times New Roman" w:hAnsi="Book Antiqua" w:cs="Times New Roman"/>
          <w:b/>
        </w:rPr>
        <w:t>na úrovni 34 rokov až na 41 rokov</w:t>
      </w:r>
      <w:r w:rsidRPr="00057923">
        <w:rPr>
          <w:rFonts w:ascii="Book Antiqua" w:eastAsia="Times New Roman" w:hAnsi="Book Antiqua" w:cs="Times New Roman"/>
        </w:rPr>
        <w:t xml:space="preserve">. </w:t>
      </w: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Veľmi zaujímavé sú v tejto súvislosti roky 2006 a  2007, kedy sa zvyšoval priemerný vek odchodu do dôchodku žien, ale na druhej strane sa znižovalo priemerné obdobie dôchodkového poistenia týchto žien. V porovnaní s rokom 2005 došlo u žien v rokoch 2006 a 2007 k poklesu priemerného obdobia dôchodkového poistenia pri odchode do dôchodku o cca 2,5 roka. Uvedený výkyv z inak rastúceho trendu bol spôsobený predovšetkým vyšším počtom žien, ktoré v tomto období odchádzali do dôchodku vo veku viac ako 60 rokov a vyšším počtom žien, ktoré na druhej strane získali veľmi nízke obdobie dôchodkového poistenia. Príčinou zvýšeného počtu novopriznaných starobných dôchodkov vo vyššom veku a s nízkym obdobím dôchodkového poistenia bola legislatívna zmena</w:t>
      </w:r>
      <w:bookmarkStart w:id="0" w:name="legislatívna_zmena"/>
      <w:bookmarkEnd w:id="0"/>
      <w:r w:rsidRPr="00057923">
        <w:rPr>
          <w:rFonts w:ascii="Book Antiqua" w:eastAsia="Times New Roman" w:hAnsi="Book Antiqua" w:cs="Times New Roman"/>
        </w:rPr>
        <w:t xml:space="preserve"> zákona o sociálnom poistení, nakoľko od 1. augusta 2006</w:t>
      </w:r>
      <w:bookmarkStart w:id="1" w:name="nahradne_doby"/>
      <w:bookmarkEnd w:id="1"/>
      <w:r w:rsidRPr="00057923">
        <w:rPr>
          <w:rFonts w:ascii="Book Antiqua" w:eastAsia="Times New Roman" w:hAnsi="Book Antiqua" w:cs="Times New Roman"/>
        </w:rPr>
        <w:t xml:space="preserve"> sa na hodnotenie náhradnej doby ako obdobia dôchodkového poistenia nevyžaduje splnenie podmienky získania najmenej jedného roka zamestnania. Takýmto spôsobom sa umožnilo ženám, ktoré získali napr. 15 až 20 rokov dôchodkového poistenia len za „tzv. náhradné doby“</w:t>
      </w:r>
      <w:r w:rsidRPr="00057923">
        <w:rPr>
          <w:rFonts w:ascii="Book Antiqua" w:eastAsia="Times New Roman" w:hAnsi="Book Antiqua" w:cs="Times New Roman"/>
          <w:vertAlign w:val="superscript"/>
        </w:rPr>
        <w:footnoteReference w:id="4"/>
      </w:r>
      <w:r w:rsidRPr="00057923">
        <w:rPr>
          <w:rFonts w:ascii="Book Antiqua" w:eastAsia="Times New Roman" w:hAnsi="Book Antiqua" w:cs="Times New Roman"/>
        </w:rPr>
        <w:t xml:space="preserve"> získať nárok na starobný dôchodok.</w:t>
      </w: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rPr>
      </w:pPr>
      <w:r w:rsidRPr="00057923">
        <w:rPr>
          <w:rFonts w:ascii="Book Antiqua" w:eastAsia="Times New Roman" w:hAnsi="Book Antiqua" w:cs="Times New Roman"/>
          <w:b/>
        </w:rPr>
        <w:t xml:space="preserve">Graf  3:  </w:t>
      </w:r>
      <w:r w:rsidRPr="00057923">
        <w:rPr>
          <w:rFonts w:ascii="Book Antiqua" w:eastAsia="Times New Roman" w:hAnsi="Book Antiqua" w:cs="Times New Roman"/>
        </w:rPr>
        <w:t>Počet žien, ktoré odchádzali do starobného dôchodku v rokoch 2006 až 2010 vo veku nad 64 rokov</w:t>
      </w:r>
    </w:p>
    <w:p w:rsidR="00057923" w:rsidRPr="00057923" w:rsidRDefault="00057923" w:rsidP="00057923">
      <w:pPr>
        <w:spacing w:after="0" w:line="276" w:lineRule="auto"/>
        <w:jc w:val="both"/>
        <w:rPr>
          <w:rFonts w:ascii="Book Antiqua" w:eastAsia="Times New Roman" w:hAnsi="Book Antiqua" w:cs="Times New Roman"/>
        </w:rPr>
      </w:pPr>
      <w:r w:rsidRPr="00057923">
        <w:rPr>
          <w:rFonts w:ascii="Book Antiqua" w:eastAsia="Times New Roman" w:hAnsi="Book Antiqua" w:cs="Times New Roman"/>
          <w:noProof/>
          <w:lang w:eastAsia="sk-SK"/>
        </w:rPr>
        <w:lastRenderedPageBreak/>
        <w:drawing>
          <wp:inline distT="0" distB="0" distL="0" distR="0">
            <wp:extent cx="5679440" cy="2463165"/>
            <wp:effectExtent l="38100" t="57150" r="54610" b="51435"/>
            <wp:docPr id="15" name="Graf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7923" w:rsidRPr="00057923" w:rsidRDefault="00057923" w:rsidP="00057923">
      <w:pPr>
        <w:spacing w:after="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Pozn.: Napríklad v roku 2016 odišlo do starobného dôchodku len 46 žien starších ako 65 rokov.</w:t>
      </w: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Rovnako veľmi zaujímavá je súčasná distribúcia dôchodcov podľa dĺžky obdobia dôchodkového poistenia, kde napríklad v roku 2016 bolo až </w:t>
      </w:r>
      <w:r w:rsidRPr="00057923">
        <w:rPr>
          <w:rFonts w:ascii="Book Antiqua" w:eastAsia="Times New Roman" w:hAnsi="Book Antiqua" w:cs="Times New Roman"/>
          <w:b/>
        </w:rPr>
        <w:t xml:space="preserve">takmer 75 % dôchodcov s obdobím dôchodkového poistenia s trvaním minimálne 42 rokov. </w:t>
      </w:r>
      <w:r w:rsidRPr="00057923">
        <w:rPr>
          <w:rFonts w:ascii="Book Antiqua" w:eastAsia="Times New Roman" w:hAnsi="Book Antiqua" w:cs="Times New Roman"/>
        </w:rPr>
        <w:t xml:space="preserve">V prípade len samotných mužov to bolo dokonca až </w:t>
      </w:r>
      <w:r w:rsidRPr="00057923">
        <w:rPr>
          <w:rFonts w:ascii="Book Antiqua" w:eastAsia="Times New Roman" w:hAnsi="Book Antiqua" w:cs="Times New Roman"/>
          <w:b/>
        </w:rPr>
        <w:t>82 %.</w:t>
      </w:r>
      <w:r w:rsidRPr="00057923">
        <w:rPr>
          <w:rFonts w:ascii="Book Antiqua" w:eastAsia="Times New Roman" w:hAnsi="Book Antiqua" w:cs="Times New Roman"/>
        </w:rPr>
        <w:t xml:space="preserve"> Obdobné hodnoty sme mohli sledovať aj v rokoch 2014 a 2015.</w:t>
      </w:r>
    </w:p>
    <w:p w:rsidR="00057923" w:rsidRPr="00057923" w:rsidRDefault="00057923" w:rsidP="00057923">
      <w:pPr>
        <w:spacing w:after="0" w:line="276" w:lineRule="auto"/>
        <w:jc w:val="both"/>
        <w:rPr>
          <w:rFonts w:ascii="Book Antiqua" w:eastAsia="Times New Roman" w:hAnsi="Book Antiqua" w:cs="Times New Roman"/>
          <w:i/>
        </w:rPr>
      </w:pPr>
    </w:p>
    <w:p w:rsidR="00057923" w:rsidRPr="00057923" w:rsidRDefault="00057923" w:rsidP="00057923">
      <w:pPr>
        <w:spacing w:after="0" w:line="276" w:lineRule="auto"/>
        <w:jc w:val="both"/>
        <w:rPr>
          <w:rFonts w:ascii="Book Antiqua" w:eastAsia="Times New Roman" w:hAnsi="Book Antiqua" w:cs="Times New Roman"/>
        </w:rPr>
      </w:pPr>
      <w:r w:rsidRPr="00057923">
        <w:rPr>
          <w:rFonts w:ascii="Book Antiqua" w:eastAsia="Times New Roman" w:hAnsi="Book Antiqua" w:cs="Times New Roman"/>
          <w:b/>
        </w:rPr>
        <w:t>Tabuľka 1:</w:t>
      </w:r>
      <w:r w:rsidRPr="00057923">
        <w:rPr>
          <w:rFonts w:ascii="Book Antiqua" w:eastAsia="Times New Roman" w:hAnsi="Book Antiqua" w:cs="Times New Roman"/>
        </w:rPr>
        <w:t xml:space="preserve"> Počet novopriznaných starobných dôchodkov podľa pohlavia a dĺžky obdobia dôchodkového poistenia za rok 2016</w:t>
      </w:r>
    </w:p>
    <w:p w:rsidR="00057923" w:rsidRPr="00057923" w:rsidRDefault="00057923" w:rsidP="00057923">
      <w:pPr>
        <w:spacing w:after="0" w:line="276" w:lineRule="auto"/>
        <w:jc w:val="both"/>
        <w:rPr>
          <w:rFonts w:ascii="Book Antiqua" w:eastAsia="Times New Roman" w:hAnsi="Book Antiqua" w:cs="Times New Roman"/>
        </w:rPr>
      </w:pPr>
    </w:p>
    <w:tbl>
      <w:tblPr>
        <w:tblW w:w="5000" w:type="pct"/>
        <w:jc w:val="center"/>
        <w:tblCellMar>
          <w:left w:w="70" w:type="dxa"/>
          <w:right w:w="70" w:type="dxa"/>
        </w:tblCellMar>
        <w:tblLook w:val="04A0" w:firstRow="1" w:lastRow="0" w:firstColumn="1" w:lastColumn="0" w:noHBand="0" w:noVBand="1"/>
      </w:tblPr>
      <w:tblGrid>
        <w:gridCol w:w="1639"/>
        <w:gridCol w:w="1084"/>
        <w:gridCol w:w="1084"/>
        <w:gridCol w:w="1748"/>
        <w:gridCol w:w="1748"/>
        <w:gridCol w:w="1747"/>
      </w:tblGrid>
      <w:tr w:rsidR="00057923" w:rsidRPr="00057923" w:rsidTr="00A62543">
        <w:trPr>
          <w:trHeight w:val="780"/>
          <w:jc w:val="center"/>
        </w:trPr>
        <w:tc>
          <w:tcPr>
            <w:tcW w:w="905" w:type="pct"/>
            <w:tcBorders>
              <w:top w:val="single" w:sz="8" w:space="0" w:color="auto"/>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ODP v rokoch</w:t>
            </w:r>
          </w:p>
        </w:tc>
        <w:tc>
          <w:tcPr>
            <w:tcW w:w="599"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Muži</w:t>
            </w:r>
          </w:p>
        </w:tc>
        <w:tc>
          <w:tcPr>
            <w:tcW w:w="599"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Ženy</w:t>
            </w:r>
          </w:p>
        </w:tc>
        <w:tc>
          <w:tcPr>
            <w:tcW w:w="966"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Spolu</w:t>
            </w:r>
          </w:p>
        </w:tc>
        <w:tc>
          <w:tcPr>
            <w:tcW w:w="966" w:type="pct"/>
            <w:tcBorders>
              <w:top w:val="single" w:sz="8" w:space="0" w:color="auto"/>
              <w:left w:val="nil"/>
              <w:bottom w:val="single" w:sz="8"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 z celkového počtu</w:t>
            </w:r>
          </w:p>
        </w:tc>
        <w:tc>
          <w:tcPr>
            <w:tcW w:w="966" w:type="pct"/>
            <w:tcBorders>
              <w:top w:val="single" w:sz="8" w:space="0" w:color="auto"/>
              <w:left w:val="nil"/>
              <w:bottom w:val="single" w:sz="8"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 kumulatívne</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menej ako 15</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0,0%</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0,0%</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68</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0,2%</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0,2%</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32</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0,2%</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0,4%</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32</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44</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76</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0,2%</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0,6%</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18</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0,2%</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0,8%</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40</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93</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0,3%</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69</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120</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0,3%</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1,4%</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68</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118</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0,3%</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68</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94</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162</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0,5%</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88</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90</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178</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0,5%</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2,7%</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85</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98</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183</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0,5%</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3,2%</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102</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108</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210</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0,6%</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3,8%</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112</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117</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229</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0,6%</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4,4%</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27</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111</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136</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247</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0,7%</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28</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122</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134</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256</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0,7%</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5,8%</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29</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103</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158</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261</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0,7%</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6,6%</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30</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117</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161</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278</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0,8%</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7,4%</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31</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130</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167</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297</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0,8%</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8,2%</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32</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139</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168</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307</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0,9%</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9,1%</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33</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122</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225</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347</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10,1%</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34</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132</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211</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343</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11,0%</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lastRenderedPageBreak/>
              <w:t>35</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166</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236</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402</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12,2%</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36</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168</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283</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451</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13,4%</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37</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178</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298</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476</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14,8%</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38</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223</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365</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588</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16,5%</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39</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374</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391</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765</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18,6%</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40</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364</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579</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943</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2,7%</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21,3%</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41</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453</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792</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1 245</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3,5%</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24,8%</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638</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1 118</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1 756</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29,8%</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43</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1 053</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2 192</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3 245</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9,2%</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39,0%</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44</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1 730</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3 186</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4 916</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13,9%</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52,9%</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3 620</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2 416</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6 036</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17,1%</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70,0%</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 xml:space="preserve">  46+  </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9 338</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1 242</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10 580</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30,0%</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100,0%</w:t>
            </w:r>
          </w:p>
        </w:tc>
      </w:tr>
      <w:tr w:rsidR="00057923" w:rsidRPr="00057923" w:rsidTr="00A62543">
        <w:trPr>
          <w:trHeight w:val="227"/>
          <w:jc w:val="center"/>
        </w:trPr>
        <w:tc>
          <w:tcPr>
            <w:tcW w:w="905"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spolu</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19 973</w:t>
            </w:r>
          </w:p>
        </w:tc>
        <w:tc>
          <w:tcPr>
            <w:tcW w:w="599"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15 324</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35 297</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100,0%</w:t>
            </w:r>
          </w:p>
        </w:tc>
        <w:tc>
          <w:tcPr>
            <w:tcW w:w="96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w:t>
            </w:r>
          </w:p>
        </w:tc>
      </w:tr>
    </w:tbl>
    <w:p w:rsidR="00057923" w:rsidRPr="00057923" w:rsidRDefault="00057923" w:rsidP="00057923">
      <w:pPr>
        <w:spacing w:after="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rPr>
        <w:t xml:space="preserve">    </w:t>
      </w:r>
      <w:r w:rsidRPr="00057923">
        <w:rPr>
          <w:rFonts w:ascii="Book Antiqua" w:eastAsia="Times New Roman" w:hAnsi="Book Antiqua" w:cs="Times New Roman"/>
          <w:i/>
        </w:rPr>
        <w:t xml:space="preserve">   </w:t>
      </w:r>
      <w:r w:rsidRPr="00057923">
        <w:rPr>
          <w:rFonts w:ascii="Book Antiqua" w:eastAsia="Times New Roman" w:hAnsi="Book Antiqua" w:cs="Times New Roman"/>
          <w:i/>
          <w:sz w:val="20"/>
          <w:szCs w:val="20"/>
        </w:rPr>
        <w:t>Zdroj: Sociálna poisťovňa</w:t>
      </w:r>
    </w:p>
    <w:p w:rsidR="00057923" w:rsidRPr="00057923" w:rsidRDefault="00057923" w:rsidP="00057923">
      <w:pPr>
        <w:spacing w:after="0" w:line="276" w:lineRule="auto"/>
        <w:ind w:left="1416"/>
        <w:jc w:val="both"/>
        <w:rPr>
          <w:rFonts w:ascii="Book Antiqua" w:eastAsia="Times New Roman" w:hAnsi="Book Antiqua" w:cs="Times New Roman"/>
          <w:i/>
        </w:rPr>
      </w:pP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Predmetná štatistika dokumentuje, že pri okamžitom prechode na minimálnu podmienku nároku na  starobný dôchodok 30 rokov dôchodkového poistenia by sa naň nekvalifikovalo cca 2 300 osôb v roku 2016, čo predstavuje 6,6 % z celkového počtu novopriznaných starobných dôchodcov v roku 2016. V roku 2015 by uvedenú podmienku nesplnilo 6,3 % novopriznaných starobných dôchodcov a v roku 2014 by to bolo 6,7 % novopriznaných starobných dôchodcov. Určitá časť z uvedeného počtu dotknutých osôb by získala nárok na dávku a príspevky v hmotnej núdzi. </w:t>
      </w: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t>Tabuľka 2:</w:t>
      </w:r>
      <w:r w:rsidRPr="00057923">
        <w:rPr>
          <w:rFonts w:ascii="Book Antiqua" w:eastAsia="Times New Roman" w:hAnsi="Book Antiqua" w:cs="Times New Roman"/>
        </w:rPr>
        <w:t xml:space="preserve"> Historický vývoj počtu novopriznaných starobných dôchodcov s obdobím dôchodkového poistenia nižším ako 30 rokov.</w:t>
      </w:r>
    </w:p>
    <w:tbl>
      <w:tblPr>
        <w:tblW w:w="5000" w:type="pct"/>
        <w:tblLayout w:type="fixed"/>
        <w:tblCellMar>
          <w:left w:w="70" w:type="dxa"/>
          <w:right w:w="70" w:type="dxa"/>
        </w:tblCellMar>
        <w:tblLook w:val="04A0" w:firstRow="1" w:lastRow="0" w:firstColumn="1" w:lastColumn="0" w:noHBand="0" w:noVBand="1"/>
      </w:tblPr>
      <w:tblGrid>
        <w:gridCol w:w="1606"/>
        <w:gridCol w:w="574"/>
        <w:gridCol w:w="574"/>
        <w:gridCol w:w="573"/>
        <w:gridCol w:w="573"/>
        <w:gridCol w:w="574"/>
        <w:gridCol w:w="573"/>
        <w:gridCol w:w="573"/>
        <w:gridCol w:w="573"/>
        <w:gridCol w:w="574"/>
        <w:gridCol w:w="573"/>
        <w:gridCol w:w="573"/>
        <w:gridCol w:w="573"/>
        <w:gridCol w:w="574"/>
      </w:tblGrid>
      <w:tr w:rsidR="00057923" w:rsidRPr="00057923" w:rsidTr="00A62543">
        <w:trPr>
          <w:trHeight w:val="300"/>
        </w:trPr>
        <w:tc>
          <w:tcPr>
            <w:tcW w:w="885" w:type="pct"/>
            <w:tcBorders>
              <w:top w:val="single" w:sz="4" w:space="0" w:color="auto"/>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 </w:t>
            </w:r>
          </w:p>
        </w:tc>
        <w:tc>
          <w:tcPr>
            <w:tcW w:w="316"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16"/>
                <w:szCs w:val="16"/>
                <w:lang w:eastAsia="sk-SK"/>
              </w:rPr>
            </w:pPr>
            <w:r w:rsidRPr="00057923">
              <w:rPr>
                <w:rFonts w:ascii="Book Antiqua" w:eastAsia="Times New Roman" w:hAnsi="Book Antiqua" w:cs="Times New Roman"/>
                <w:b/>
                <w:bCs/>
                <w:color w:val="000000"/>
                <w:sz w:val="16"/>
                <w:szCs w:val="16"/>
                <w:lang w:eastAsia="sk-SK"/>
              </w:rPr>
              <w:t>2004</w:t>
            </w:r>
          </w:p>
        </w:tc>
        <w:tc>
          <w:tcPr>
            <w:tcW w:w="316"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16"/>
                <w:szCs w:val="16"/>
                <w:lang w:eastAsia="sk-SK"/>
              </w:rPr>
            </w:pPr>
            <w:r w:rsidRPr="00057923">
              <w:rPr>
                <w:rFonts w:ascii="Book Antiqua" w:eastAsia="Times New Roman" w:hAnsi="Book Antiqua" w:cs="Times New Roman"/>
                <w:b/>
                <w:bCs/>
                <w:color w:val="000000"/>
                <w:sz w:val="16"/>
                <w:szCs w:val="16"/>
                <w:lang w:eastAsia="sk-SK"/>
              </w:rPr>
              <w:t>2005</w:t>
            </w:r>
          </w:p>
        </w:tc>
        <w:tc>
          <w:tcPr>
            <w:tcW w:w="316"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16"/>
                <w:szCs w:val="16"/>
                <w:lang w:eastAsia="sk-SK"/>
              </w:rPr>
            </w:pPr>
            <w:r w:rsidRPr="00057923">
              <w:rPr>
                <w:rFonts w:ascii="Book Antiqua" w:eastAsia="Times New Roman" w:hAnsi="Book Antiqua" w:cs="Times New Roman"/>
                <w:b/>
                <w:bCs/>
                <w:color w:val="000000"/>
                <w:sz w:val="16"/>
                <w:szCs w:val="16"/>
                <w:lang w:eastAsia="sk-SK"/>
              </w:rPr>
              <w:t>2006</w:t>
            </w:r>
          </w:p>
        </w:tc>
        <w:tc>
          <w:tcPr>
            <w:tcW w:w="316"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16"/>
                <w:szCs w:val="16"/>
                <w:lang w:eastAsia="sk-SK"/>
              </w:rPr>
            </w:pPr>
            <w:r w:rsidRPr="00057923">
              <w:rPr>
                <w:rFonts w:ascii="Book Antiqua" w:eastAsia="Times New Roman" w:hAnsi="Book Antiqua" w:cs="Times New Roman"/>
                <w:b/>
                <w:bCs/>
                <w:color w:val="000000"/>
                <w:sz w:val="16"/>
                <w:szCs w:val="16"/>
                <w:lang w:eastAsia="sk-SK"/>
              </w:rPr>
              <w:t>2007</w:t>
            </w:r>
          </w:p>
        </w:tc>
        <w:tc>
          <w:tcPr>
            <w:tcW w:w="317"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16"/>
                <w:szCs w:val="16"/>
                <w:lang w:eastAsia="sk-SK"/>
              </w:rPr>
            </w:pPr>
            <w:r w:rsidRPr="00057923">
              <w:rPr>
                <w:rFonts w:ascii="Book Antiqua" w:eastAsia="Times New Roman" w:hAnsi="Book Antiqua" w:cs="Times New Roman"/>
                <w:b/>
                <w:bCs/>
                <w:color w:val="000000"/>
                <w:sz w:val="16"/>
                <w:szCs w:val="16"/>
                <w:lang w:eastAsia="sk-SK"/>
              </w:rPr>
              <w:t>2008</w:t>
            </w:r>
          </w:p>
        </w:tc>
        <w:tc>
          <w:tcPr>
            <w:tcW w:w="316"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16"/>
                <w:szCs w:val="16"/>
                <w:lang w:eastAsia="sk-SK"/>
              </w:rPr>
            </w:pPr>
            <w:r w:rsidRPr="00057923">
              <w:rPr>
                <w:rFonts w:ascii="Book Antiqua" w:eastAsia="Times New Roman" w:hAnsi="Book Antiqua" w:cs="Times New Roman"/>
                <w:b/>
                <w:bCs/>
                <w:color w:val="000000"/>
                <w:sz w:val="16"/>
                <w:szCs w:val="16"/>
                <w:lang w:eastAsia="sk-SK"/>
              </w:rPr>
              <w:t>2009</w:t>
            </w:r>
          </w:p>
        </w:tc>
        <w:tc>
          <w:tcPr>
            <w:tcW w:w="316"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16"/>
                <w:szCs w:val="16"/>
                <w:lang w:eastAsia="sk-SK"/>
              </w:rPr>
            </w:pPr>
            <w:r w:rsidRPr="00057923">
              <w:rPr>
                <w:rFonts w:ascii="Book Antiqua" w:eastAsia="Times New Roman" w:hAnsi="Book Antiqua" w:cs="Times New Roman"/>
                <w:b/>
                <w:bCs/>
                <w:color w:val="000000"/>
                <w:sz w:val="16"/>
                <w:szCs w:val="16"/>
                <w:lang w:eastAsia="sk-SK"/>
              </w:rPr>
              <w:t>2010</w:t>
            </w:r>
          </w:p>
        </w:tc>
        <w:tc>
          <w:tcPr>
            <w:tcW w:w="316"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16"/>
                <w:szCs w:val="16"/>
                <w:lang w:eastAsia="sk-SK"/>
              </w:rPr>
            </w:pPr>
            <w:r w:rsidRPr="00057923">
              <w:rPr>
                <w:rFonts w:ascii="Book Antiqua" w:eastAsia="Times New Roman" w:hAnsi="Book Antiqua" w:cs="Times New Roman"/>
                <w:b/>
                <w:bCs/>
                <w:color w:val="000000"/>
                <w:sz w:val="16"/>
                <w:szCs w:val="16"/>
                <w:lang w:eastAsia="sk-SK"/>
              </w:rPr>
              <w:t>2011</w:t>
            </w:r>
          </w:p>
        </w:tc>
        <w:tc>
          <w:tcPr>
            <w:tcW w:w="317"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16"/>
                <w:szCs w:val="16"/>
                <w:lang w:eastAsia="sk-SK"/>
              </w:rPr>
            </w:pPr>
            <w:r w:rsidRPr="00057923">
              <w:rPr>
                <w:rFonts w:ascii="Book Antiqua" w:eastAsia="Times New Roman" w:hAnsi="Book Antiqua" w:cs="Times New Roman"/>
                <w:b/>
                <w:bCs/>
                <w:color w:val="000000"/>
                <w:sz w:val="16"/>
                <w:szCs w:val="16"/>
                <w:lang w:eastAsia="sk-SK"/>
              </w:rPr>
              <w:t>2012</w:t>
            </w:r>
          </w:p>
        </w:tc>
        <w:tc>
          <w:tcPr>
            <w:tcW w:w="316"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16"/>
                <w:szCs w:val="16"/>
                <w:lang w:eastAsia="sk-SK"/>
              </w:rPr>
            </w:pPr>
            <w:r w:rsidRPr="00057923">
              <w:rPr>
                <w:rFonts w:ascii="Book Antiqua" w:eastAsia="Times New Roman" w:hAnsi="Book Antiqua" w:cs="Times New Roman"/>
                <w:b/>
                <w:bCs/>
                <w:color w:val="000000"/>
                <w:sz w:val="16"/>
                <w:szCs w:val="16"/>
                <w:lang w:eastAsia="sk-SK"/>
              </w:rPr>
              <w:t>2013</w:t>
            </w:r>
          </w:p>
        </w:tc>
        <w:tc>
          <w:tcPr>
            <w:tcW w:w="316"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16"/>
                <w:szCs w:val="16"/>
                <w:lang w:eastAsia="sk-SK"/>
              </w:rPr>
            </w:pPr>
            <w:r w:rsidRPr="00057923">
              <w:rPr>
                <w:rFonts w:ascii="Book Antiqua" w:eastAsia="Times New Roman" w:hAnsi="Book Antiqua" w:cs="Times New Roman"/>
                <w:b/>
                <w:bCs/>
                <w:color w:val="000000"/>
                <w:sz w:val="16"/>
                <w:szCs w:val="16"/>
                <w:lang w:eastAsia="sk-SK"/>
              </w:rPr>
              <w:t>2014</w:t>
            </w:r>
          </w:p>
        </w:tc>
        <w:tc>
          <w:tcPr>
            <w:tcW w:w="316"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16"/>
                <w:szCs w:val="16"/>
                <w:lang w:eastAsia="sk-SK"/>
              </w:rPr>
            </w:pPr>
            <w:r w:rsidRPr="00057923">
              <w:rPr>
                <w:rFonts w:ascii="Book Antiqua" w:eastAsia="Times New Roman" w:hAnsi="Book Antiqua" w:cs="Times New Roman"/>
                <w:b/>
                <w:bCs/>
                <w:color w:val="000000"/>
                <w:sz w:val="16"/>
                <w:szCs w:val="16"/>
                <w:lang w:eastAsia="sk-SK"/>
              </w:rPr>
              <w:t>2015</w:t>
            </w:r>
          </w:p>
        </w:tc>
        <w:tc>
          <w:tcPr>
            <w:tcW w:w="317"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16"/>
                <w:szCs w:val="16"/>
                <w:lang w:eastAsia="sk-SK"/>
              </w:rPr>
            </w:pPr>
            <w:r w:rsidRPr="00057923">
              <w:rPr>
                <w:rFonts w:ascii="Book Antiqua" w:eastAsia="Times New Roman" w:hAnsi="Book Antiqua" w:cs="Times New Roman"/>
                <w:b/>
                <w:bCs/>
                <w:color w:val="000000"/>
                <w:sz w:val="16"/>
                <w:szCs w:val="16"/>
                <w:lang w:eastAsia="sk-SK"/>
              </w:rPr>
              <w:t>2016</w:t>
            </w:r>
          </w:p>
        </w:tc>
      </w:tr>
      <w:tr w:rsidR="00057923" w:rsidRPr="00057923" w:rsidTr="00A62543">
        <w:trPr>
          <w:trHeight w:val="300"/>
        </w:trPr>
        <w:tc>
          <w:tcPr>
            <w:tcW w:w="885"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Počet novopriznaných starobných dôchodcov s obdobím dôchodkového poistenia nižším ako 30 rokov (z toho ženy)</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961</w:t>
            </w:r>
          </w:p>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(810)</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2 834</w:t>
            </w:r>
          </w:p>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(2462)</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2 514</w:t>
            </w:r>
          </w:p>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(2110)</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4 235</w:t>
            </w:r>
          </w:p>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(3735)</w:t>
            </w:r>
          </w:p>
        </w:tc>
        <w:tc>
          <w:tcPr>
            <w:tcW w:w="317"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2 830</w:t>
            </w:r>
          </w:p>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(2314)</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2 539</w:t>
            </w:r>
          </w:p>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(1875)</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3 153</w:t>
            </w:r>
          </w:p>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(2366)</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2 287</w:t>
            </w:r>
            <w:r w:rsidRPr="00057923">
              <w:rPr>
                <w:rFonts w:ascii="Book Antiqua" w:eastAsia="Times New Roman" w:hAnsi="Book Antiqua" w:cs="Times New Roman"/>
                <w:color w:val="000000"/>
                <w:sz w:val="16"/>
                <w:szCs w:val="16"/>
                <w:lang w:eastAsia="sk-SK"/>
              </w:rPr>
              <w:br/>
              <w:t>(1470)</w:t>
            </w:r>
          </w:p>
        </w:tc>
        <w:tc>
          <w:tcPr>
            <w:tcW w:w="317"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3 064</w:t>
            </w:r>
          </w:p>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(2129)</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1 574</w:t>
            </w:r>
          </w:p>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(968)</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2 341</w:t>
            </w:r>
          </w:p>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(1582)</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1 957</w:t>
            </w:r>
          </w:p>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(1273)</w:t>
            </w:r>
          </w:p>
        </w:tc>
        <w:tc>
          <w:tcPr>
            <w:tcW w:w="317"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2 322</w:t>
            </w:r>
          </w:p>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(1294)</w:t>
            </w:r>
          </w:p>
        </w:tc>
      </w:tr>
      <w:tr w:rsidR="00057923" w:rsidRPr="00057923" w:rsidTr="00A62543">
        <w:trPr>
          <w:trHeight w:val="300"/>
        </w:trPr>
        <w:tc>
          <w:tcPr>
            <w:tcW w:w="885"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 z celkového počtu novopriznaných starobných dôchodkov</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7,0%</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9,9%</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19,0%</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20,2%</w:t>
            </w:r>
          </w:p>
        </w:tc>
        <w:tc>
          <w:tcPr>
            <w:tcW w:w="317"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15,1%</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14,5%</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16,0%</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16,9%</w:t>
            </w:r>
          </w:p>
        </w:tc>
        <w:tc>
          <w:tcPr>
            <w:tcW w:w="317"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11,4%</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6,9%</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6,7%</w:t>
            </w:r>
          </w:p>
        </w:tc>
        <w:tc>
          <w:tcPr>
            <w:tcW w:w="316"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6,3%</w:t>
            </w:r>
          </w:p>
        </w:tc>
        <w:tc>
          <w:tcPr>
            <w:tcW w:w="317"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16"/>
                <w:szCs w:val="16"/>
                <w:lang w:eastAsia="sk-SK"/>
              </w:rPr>
            </w:pPr>
            <w:r w:rsidRPr="00057923">
              <w:rPr>
                <w:rFonts w:ascii="Book Antiqua" w:eastAsia="Times New Roman" w:hAnsi="Book Antiqua" w:cs="Times New Roman"/>
                <w:color w:val="000000"/>
                <w:sz w:val="16"/>
                <w:szCs w:val="16"/>
                <w:lang w:eastAsia="sk-SK"/>
              </w:rPr>
              <w:t>6,6%</w:t>
            </w:r>
          </w:p>
        </w:tc>
      </w:tr>
    </w:tbl>
    <w:p w:rsidR="00057923" w:rsidRPr="00057923" w:rsidRDefault="00057923" w:rsidP="00057923">
      <w:pPr>
        <w:spacing w:after="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Zdroj: MPSVR SR</w:t>
      </w:r>
    </w:p>
    <w:p w:rsidR="00057923" w:rsidRPr="00057923" w:rsidRDefault="00057923" w:rsidP="00057923">
      <w:pPr>
        <w:spacing w:after="0" w:line="276" w:lineRule="auto"/>
        <w:jc w:val="both"/>
        <w:rPr>
          <w:rFonts w:ascii="Book Antiqua" w:eastAsia="Times New Roman" w:hAnsi="Book Antiqua" w:cs="Times New Roman"/>
          <w:i/>
          <w:sz w:val="20"/>
          <w:szCs w:val="20"/>
        </w:rPr>
      </w:pP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Na základe historického vývoja môžeme vidieť klesajúci počet novopriznaných starobných dôchodcov s obdobím dôchodkového poistenia nižším ako 30 rokov v porovnaní s celkovým počtom novopriznaných starobných dôchodkov. Vo väčšej miere získavali nízke obdobia dôchodkového poistenia ženy (v rokoch 2004 až 2018 viac ako 70 % z celkového počtu). Výraznejšie zvýšenie počtu týchto osôb v roku 2007 súvisí so zmenou v hodnotení náhradných dôb od 1. augusta 2006, ktorá je popísaná v texte vyššie. Vývoj počtu týchto osôb do </w:t>
      </w:r>
      <w:proofErr w:type="spellStart"/>
      <w:r w:rsidRPr="00057923">
        <w:rPr>
          <w:rFonts w:ascii="Book Antiqua" w:eastAsia="Times New Roman" w:hAnsi="Book Antiqua" w:cs="Times New Roman"/>
        </w:rPr>
        <w:t>búdúcnosti</w:t>
      </w:r>
      <w:proofErr w:type="spellEnd"/>
      <w:r w:rsidRPr="00057923">
        <w:rPr>
          <w:rFonts w:ascii="Book Antiqua" w:eastAsia="Times New Roman" w:hAnsi="Book Antiqua" w:cs="Times New Roman"/>
        </w:rPr>
        <w:t xml:space="preserve"> je veľmi náročné odhadnúť, nakoľko na jednej strane budú dôchodcovia v budúcnosti získavať postupne čoraz menej tzv. náhradných dôb, ktoré sa im zohľadňujú ako doby dôchodkového poistenia podľa zákona č. 100/1988 Zb. o sociálnom zabezpečení, avšak môžu si uvedené obdobie podľa súčasne účinného právneho stavu doplatiť (vzhľadom </w:t>
      </w:r>
      <w:r w:rsidRPr="00057923">
        <w:rPr>
          <w:rFonts w:ascii="Book Antiqua" w:eastAsia="Times New Roman" w:hAnsi="Book Antiqua" w:cs="Times New Roman"/>
        </w:rPr>
        <w:lastRenderedPageBreak/>
        <w:t xml:space="preserve">na relatívne nízky vek týchto osôb nie je možné kvalifikovane odhadnúť koľko v budúcnosti bude mať záujem o spätné doplatenie dôchodkového poistenia). Na druhej strane sa bude predlžovať dôchodkový vek a aj pobyt osôb na trhu práce. Na základe projekcie Európskej komisie a Pracovnej skupiny pre starnutie (AWG) sa predpokladá zvýšenie priemerného  obdobia dôchodkového poistenia u mužov o 4 roky zo 42 rokov v roku 2016 na 46 rokov v roku 2060 a u žien o 4,8 roka zo 41 rokov v roku 2016 na 45,8 roka v roku 2060. Rovnako je potrebné si uvedomiť, že napríklad obdobie štúdia sa bude dôchodcom odchádzajúcim do dôchodku započítavať ešte ďalších približne 25 rokov v plnej miere. Na základe uvedeného sa domnievame, že počet týchto osôb v krátkodobom a strednodobom horizonte nebude výrazne stúpať.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S relatívne vysokým obdobím dôchodkového poistenia, ktoré získavajú súčasní poistenci odchádzajúci do starobného dôchodku, súvisí aj pomerne vysoká miera náhrady novopriznaných starobných dôchodkov, ktorá sa v rokoch 2014 až 2016 pohybovala na úrovni približne 53 % až 54 %.  V tejto súvislosti je dôležité upozorniť aj na skutočnosť, že poistencom, ktorí odchádzajú v súčasnosti do dôchodku, sa do obdobia dôchodkového poistenia započítavajú aj obdobia štúdia na strednej a vysokej škole získané pred rokom 2004 (napríklad v roku 2016 získali osoby odchádzajúce do starobného dôchodku v priemere približne 3,5 roka dôchodkového poistenia za štúdium) a dokonca aj obdobia evidovanej nezamestnanosti získané do 31. decembra 2000. Od roku 2001 v prípade evidovanej nezamestnanosti (bez poberania podpory v nezamestnanosti), resp. 2004 sa už tieto obdobia nezarátavajú do obdobia dôchodkového poistenia, ale poistenci si tieto obdobia môžu spätne doplatiť. Otázkou zostáva fakt, či sa mladšie generácie poistencov v prípade, že sa uvedený stav nezmení, nebudú v budúcnosti pri odchode do starobného dôchodku cítiť vzhľadom na uvedený stav „poškodené“, nakoľko sú to práve mladšie generácie poistencov, ktorých sa viac dotkne predlžovanie dôchodkového veku - na dôchodku by síce mali stráviť približne rovnako dlhé obdobie ako dnešní dôchodcovia, vzhľadom na predlžovanie dĺžky života by sa však percentuálna časť života stráveného na dôchodku mala skracovať. </w:t>
      </w:r>
    </w:p>
    <w:p w:rsidR="00057923" w:rsidRPr="00057923" w:rsidRDefault="00057923" w:rsidP="00057923">
      <w:pPr>
        <w:spacing w:after="200" w:line="276" w:lineRule="auto"/>
        <w:ind w:firstLine="708"/>
        <w:jc w:val="both"/>
        <w:rPr>
          <w:rFonts w:ascii="Book Antiqua" w:eastAsia="Times New Roman" w:hAnsi="Book Antiqua" w:cs="Times New Roman"/>
          <w:highlight w:val="cyan"/>
        </w:rPr>
      </w:pPr>
      <w:r w:rsidRPr="00057923">
        <w:rPr>
          <w:rFonts w:ascii="Book Antiqua" w:eastAsia="Times New Roman" w:hAnsi="Book Antiqua" w:cs="Times New Roman"/>
        </w:rPr>
        <w:t xml:space="preserve">Priemerné obdobie štúdia dnešných </w:t>
      </w:r>
      <w:proofErr w:type="spellStart"/>
      <w:r w:rsidRPr="00057923">
        <w:rPr>
          <w:rFonts w:ascii="Book Antiqua" w:eastAsia="Times New Roman" w:hAnsi="Book Antiqua" w:cs="Times New Roman"/>
        </w:rPr>
        <w:t>dvadsiatnikov</w:t>
      </w:r>
      <w:proofErr w:type="spellEnd"/>
      <w:r w:rsidRPr="00057923">
        <w:rPr>
          <w:rFonts w:ascii="Book Antiqua" w:eastAsia="Times New Roman" w:hAnsi="Book Antiqua" w:cs="Times New Roman"/>
        </w:rPr>
        <w:t xml:space="preserve"> a tridsiatnikov je už dnes podstatne dlhšie, ako u generácie ich rodičov. Podiel osôb s ukončeným vysokoškolským vzdelaním v SR síce kontinuálne rastie (v roku 2016 dosahoval podiel populácia vo veku 30-34 rokov s ukončeným vysokoškolským vzdelaním v SR 31,5 %), avšak stále citeľne zaostáva za priemerom EÚ-28 (v roku 2016 - 39,1 %) aj národným cieľom Stratégie Európy 2020 (40 %)</w:t>
      </w:r>
      <w:r w:rsidRPr="00057923">
        <w:rPr>
          <w:rFonts w:ascii="Book Antiqua" w:eastAsia="Times New Roman" w:hAnsi="Book Antiqua" w:cs="Times New Roman"/>
          <w:vertAlign w:val="superscript"/>
        </w:rPr>
        <w:footnoteReference w:id="5"/>
      </w:r>
      <w:r w:rsidRPr="00057923">
        <w:rPr>
          <w:rFonts w:ascii="Book Antiqua" w:eastAsia="Times New Roman" w:hAnsi="Book Antiqua" w:cs="Times New Roman"/>
        </w:rPr>
        <w:t xml:space="preserve">. Vzhľadom na prelomové zmeny, ktoré začínajú s novými technológiami prichádzať a rozvojom znalostnej ekonomiky, možno očakávať, že požiadavky na vzdelanie, a tým i priemerná dĺžka obdobia štúdia, budú do budúcnosti stále narastať. Ak sa v budúcnosti do dôchodku nebude započítavať obdobie štúdia, bude na samotnom poistencovi, či má záujem predmetné obdobie dobrovoľne doplatiť a mať ho zohľadnené vo výpočte dôchodku. </w:t>
      </w: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lastRenderedPageBreak/>
        <w:t>Tabuľka 3</w:t>
      </w:r>
      <w:r w:rsidRPr="00057923">
        <w:rPr>
          <w:rFonts w:ascii="Book Antiqua" w:eastAsia="Times New Roman" w:hAnsi="Book Antiqua" w:cs="Times New Roman"/>
        </w:rPr>
        <w:t>: Priemerné hodnoty základných premenných vstupujúcich do vzorca na výpočet starobného dôchodku a miera náhrady novopriznaných starobných dôchodkov v rokoch 2014 až 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1"/>
        <w:gridCol w:w="2063"/>
        <w:gridCol w:w="1301"/>
        <w:gridCol w:w="3485"/>
      </w:tblGrid>
      <w:tr w:rsidR="00057923" w:rsidRPr="00057923" w:rsidTr="00A62543">
        <w:trPr>
          <w:trHeight w:val="300"/>
          <w:jc w:val="center"/>
        </w:trPr>
        <w:tc>
          <w:tcPr>
            <w:tcW w:w="975" w:type="pct"/>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B050"/>
                <w:sz w:val="20"/>
                <w:szCs w:val="20"/>
                <w:lang w:eastAsia="sk-SK"/>
              </w:rPr>
            </w:pPr>
            <w:r w:rsidRPr="00057923">
              <w:rPr>
                <w:rFonts w:ascii="Book Antiqua" w:eastAsia="Times New Roman" w:hAnsi="Book Antiqua" w:cs="Times New Roman"/>
                <w:b/>
                <w:bCs/>
                <w:color w:val="00B050"/>
                <w:sz w:val="20"/>
                <w:szCs w:val="20"/>
                <w:lang w:eastAsia="sk-SK"/>
              </w:rPr>
              <w:t>Rok priznania starobného dôchodku</w:t>
            </w:r>
          </w:p>
        </w:tc>
        <w:tc>
          <w:tcPr>
            <w:tcW w:w="1288" w:type="pct"/>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B050"/>
                <w:sz w:val="20"/>
                <w:szCs w:val="20"/>
                <w:lang w:eastAsia="sk-SK"/>
              </w:rPr>
            </w:pPr>
            <w:r w:rsidRPr="00057923">
              <w:rPr>
                <w:rFonts w:ascii="Book Antiqua" w:eastAsia="Times New Roman" w:hAnsi="Book Antiqua" w:cs="Times New Roman"/>
                <w:b/>
                <w:bCs/>
                <w:color w:val="00B050"/>
                <w:sz w:val="20"/>
                <w:szCs w:val="20"/>
                <w:lang w:eastAsia="sk-SK"/>
              </w:rPr>
              <w:t>Obdobie dôchodkového poistenia</w:t>
            </w:r>
          </w:p>
        </w:tc>
        <w:tc>
          <w:tcPr>
            <w:tcW w:w="805" w:type="pct"/>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B050"/>
                <w:sz w:val="20"/>
                <w:szCs w:val="20"/>
                <w:lang w:eastAsia="sk-SK"/>
              </w:rPr>
            </w:pPr>
            <w:r w:rsidRPr="00057923">
              <w:rPr>
                <w:rFonts w:ascii="Book Antiqua" w:eastAsia="Times New Roman" w:hAnsi="Book Antiqua" w:cs="Times New Roman"/>
                <w:b/>
                <w:bCs/>
                <w:color w:val="00B050"/>
                <w:sz w:val="20"/>
                <w:szCs w:val="20"/>
                <w:lang w:eastAsia="sk-SK"/>
              </w:rPr>
              <w:t>POMB - neupravený</w:t>
            </w:r>
          </w:p>
        </w:tc>
        <w:tc>
          <w:tcPr>
            <w:tcW w:w="1932" w:type="pct"/>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B050"/>
                <w:sz w:val="20"/>
                <w:szCs w:val="20"/>
                <w:lang w:eastAsia="sk-SK"/>
              </w:rPr>
            </w:pPr>
            <w:r w:rsidRPr="00057923">
              <w:rPr>
                <w:rFonts w:ascii="Book Antiqua" w:eastAsia="Times New Roman" w:hAnsi="Book Antiqua" w:cs="Times New Roman"/>
                <w:b/>
                <w:bCs/>
                <w:color w:val="00B050"/>
                <w:sz w:val="20"/>
                <w:szCs w:val="20"/>
                <w:lang w:eastAsia="sk-SK"/>
              </w:rPr>
              <w:t>Miera náhrady novopriznaných starobných dôchodkov v %</w:t>
            </w:r>
          </w:p>
        </w:tc>
      </w:tr>
      <w:tr w:rsidR="00057923" w:rsidRPr="00057923" w:rsidTr="00A62543">
        <w:trPr>
          <w:trHeight w:val="300"/>
          <w:jc w:val="center"/>
        </w:trPr>
        <w:tc>
          <w:tcPr>
            <w:tcW w:w="975" w:type="pct"/>
            <w:noWrap/>
            <w:vAlign w:val="center"/>
            <w:hideMark/>
          </w:tcPr>
          <w:p w:rsidR="00057923" w:rsidRPr="00057923" w:rsidRDefault="00057923" w:rsidP="00057923">
            <w:pPr>
              <w:spacing w:after="0" w:line="240" w:lineRule="auto"/>
              <w:jc w:val="center"/>
              <w:rPr>
                <w:rFonts w:ascii="Book Antiqua" w:eastAsia="Times New Roman" w:hAnsi="Book Antiqua" w:cs="Times New Roman"/>
                <w:bCs/>
                <w:color w:val="00B050"/>
                <w:sz w:val="20"/>
                <w:szCs w:val="20"/>
                <w:lang w:eastAsia="sk-SK"/>
              </w:rPr>
            </w:pPr>
            <w:r w:rsidRPr="00057923">
              <w:rPr>
                <w:rFonts w:ascii="Book Antiqua" w:eastAsia="Times New Roman" w:hAnsi="Book Antiqua" w:cs="Times New Roman"/>
                <w:bCs/>
                <w:color w:val="00B050"/>
                <w:sz w:val="20"/>
                <w:szCs w:val="20"/>
                <w:lang w:eastAsia="sk-SK"/>
              </w:rPr>
              <w:t>2014</w:t>
            </w:r>
          </w:p>
        </w:tc>
        <w:tc>
          <w:tcPr>
            <w:tcW w:w="1288" w:type="pct"/>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B050"/>
                <w:sz w:val="20"/>
                <w:szCs w:val="20"/>
                <w:lang w:eastAsia="sk-SK"/>
              </w:rPr>
            </w:pPr>
            <w:r w:rsidRPr="00057923">
              <w:rPr>
                <w:rFonts w:ascii="Book Antiqua" w:eastAsia="Times New Roman" w:hAnsi="Book Antiqua" w:cs="Times New Roman"/>
                <w:color w:val="00B050"/>
                <w:sz w:val="20"/>
                <w:szCs w:val="20"/>
                <w:lang w:eastAsia="sk-SK"/>
              </w:rPr>
              <w:t>41,80</w:t>
            </w:r>
          </w:p>
        </w:tc>
        <w:tc>
          <w:tcPr>
            <w:tcW w:w="805" w:type="pct"/>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B050"/>
                <w:sz w:val="20"/>
                <w:szCs w:val="20"/>
                <w:lang w:eastAsia="sk-SK"/>
              </w:rPr>
            </w:pPr>
            <w:r w:rsidRPr="00057923">
              <w:rPr>
                <w:rFonts w:ascii="Book Antiqua" w:eastAsia="Times New Roman" w:hAnsi="Book Antiqua" w:cs="Times New Roman"/>
                <w:color w:val="00B050"/>
                <w:sz w:val="20"/>
                <w:szCs w:val="20"/>
                <w:lang w:eastAsia="sk-SK"/>
              </w:rPr>
              <w:t>0,9538</w:t>
            </w:r>
          </w:p>
        </w:tc>
        <w:tc>
          <w:tcPr>
            <w:tcW w:w="1932" w:type="pct"/>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00B050"/>
                <w:sz w:val="20"/>
                <w:szCs w:val="20"/>
                <w:lang w:eastAsia="sk-SK"/>
              </w:rPr>
            </w:pPr>
            <w:r w:rsidRPr="00057923">
              <w:rPr>
                <w:rFonts w:ascii="Book Antiqua" w:eastAsia="Times New Roman" w:hAnsi="Book Antiqua" w:cs="Times New Roman"/>
                <w:b/>
                <w:color w:val="00B050"/>
                <w:sz w:val="20"/>
                <w:szCs w:val="20"/>
                <w:lang w:eastAsia="sk-SK"/>
              </w:rPr>
              <w:t>53,3</w:t>
            </w:r>
          </w:p>
        </w:tc>
      </w:tr>
      <w:tr w:rsidR="00057923" w:rsidRPr="00057923" w:rsidTr="00A62543">
        <w:trPr>
          <w:trHeight w:val="300"/>
          <w:jc w:val="center"/>
        </w:trPr>
        <w:tc>
          <w:tcPr>
            <w:tcW w:w="975" w:type="pct"/>
            <w:noWrap/>
            <w:vAlign w:val="center"/>
            <w:hideMark/>
          </w:tcPr>
          <w:p w:rsidR="00057923" w:rsidRPr="00057923" w:rsidRDefault="00057923" w:rsidP="00057923">
            <w:pPr>
              <w:spacing w:after="0" w:line="240" w:lineRule="auto"/>
              <w:jc w:val="center"/>
              <w:rPr>
                <w:rFonts w:ascii="Book Antiqua" w:eastAsia="Times New Roman" w:hAnsi="Book Antiqua" w:cs="Times New Roman"/>
                <w:bCs/>
                <w:color w:val="00B050"/>
                <w:sz w:val="20"/>
                <w:szCs w:val="20"/>
                <w:lang w:eastAsia="sk-SK"/>
              </w:rPr>
            </w:pPr>
            <w:r w:rsidRPr="00057923">
              <w:rPr>
                <w:rFonts w:ascii="Book Antiqua" w:eastAsia="Times New Roman" w:hAnsi="Book Antiqua" w:cs="Times New Roman"/>
                <w:bCs/>
                <w:color w:val="00B050"/>
                <w:sz w:val="20"/>
                <w:szCs w:val="20"/>
                <w:lang w:eastAsia="sk-SK"/>
              </w:rPr>
              <w:t>2015</w:t>
            </w:r>
          </w:p>
        </w:tc>
        <w:tc>
          <w:tcPr>
            <w:tcW w:w="1288" w:type="pct"/>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B050"/>
                <w:sz w:val="20"/>
                <w:szCs w:val="20"/>
                <w:lang w:eastAsia="sk-SK"/>
              </w:rPr>
            </w:pPr>
            <w:r w:rsidRPr="00057923">
              <w:rPr>
                <w:rFonts w:ascii="Book Antiqua" w:eastAsia="Times New Roman" w:hAnsi="Book Antiqua" w:cs="Times New Roman"/>
                <w:color w:val="00B050"/>
                <w:sz w:val="20"/>
                <w:szCs w:val="20"/>
                <w:lang w:eastAsia="sk-SK"/>
              </w:rPr>
              <w:t>42,37</w:t>
            </w:r>
          </w:p>
        </w:tc>
        <w:tc>
          <w:tcPr>
            <w:tcW w:w="805" w:type="pct"/>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B050"/>
                <w:sz w:val="20"/>
                <w:szCs w:val="20"/>
                <w:lang w:eastAsia="sk-SK"/>
              </w:rPr>
            </w:pPr>
            <w:r w:rsidRPr="00057923">
              <w:rPr>
                <w:rFonts w:ascii="Book Antiqua" w:eastAsia="Times New Roman" w:hAnsi="Book Antiqua" w:cs="Times New Roman"/>
                <w:color w:val="00B050"/>
                <w:sz w:val="20"/>
                <w:szCs w:val="20"/>
                <w:lang w:eastAsia="sk-SK"/>
              </w:rPr>
              <w:t>0,9651</w:t>
            </w:r>
          </w:p>
        </w:tc>
        <w:tc>
          <w:tcPr>
            <w:tcW w:w="1932" w:type="pct"/>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00B050"/>
                <w:sz w:val="20"/>
                <w:szCs w:val="20"/>
                <w:lang w:eastAsia="sk-SK"/>
              </w:rPr>
            </w:pPr>
            <w:r w:rsidRPr="00057923">
              <w:rPr>
                <w:rFonts w:ascii="Book Antiqua" w:eastAsia="Times New Roman" w:hAnsi="Book Antiqua" w:cs="Times New Roman"/>
                <w:b/>
                <w:color w:val="00B050"/>
                <w:sz w:val="20"/>
                <w:szCs w:val="20"/>
                <w:lang w:eastAsia="sk-SK"/>
              </w:rPr>
              <w:t>54,3</w:t>
            </w:r>
          </w:p>
        </w:tc>
      </w:tr>
      <w:tr w:rsidR="00057923" w:rsidRPr="00057923" w:rsidTr="00A62543">
        <w:trPr>
          <w:trHeight w:val="300"/>
          <w:jc w:val="center"/>
        </w:trPr>
        <w:tc>
          <w:tcPr>
            <w:tcW w:w="975" w:type="pct"/>
            <w:noWrap/>
            <w:vAlign w:val="center"/>
            <w:hideMark/>
          </w:tcPr>
          <w:p w:rsidR="00057923" w:rsidRPr="00057923" w:rsidRDefault="00057923" w:rsidP="00057923">
            <w:pPr>
              <w:spacing w:after="0" w:line="240" w:lineRule="auto"/>
              <w:jc w:val="center"/>
              <w:rPr>
                <w:rFonts w:ascii="Book Antiqua" w:eastAsia="Times New Roman" w:hAnsi="Book Antiqua" w:cs="Times New Roman"/>
                <w:bCs/>
                <w:color w:val="00B050"/>
                <w:sz w:val="20"/>
                <w:szCs w:val="20"/>
                <w:lang w:eastAsia="sk-SK"/>
              </w:rPr>
            </w:pPr>
            <w:r w:rsidRPr="00057923">
              <w:rPr>
                <w:rFonts w:ascii="Book Antiqua" w:eastAsia="Times New Roman" w:hAnsi="Book Antiqua" w:cs="Times New Roman"/>
                <w:bCs/>
                <w:color w:val="00B050"/>
                <w:sz w:val="20"/>
                <w:szCs w:val="20"/>
                <w:lang w:eastAsia="sk-SK"/>
              </w:rPr>
              <w:t>2016</w:t>
            </w:r>
          </w:p>
        </w:tc>
        <w:tc>
          <w:tcPr>
            <w:tcW w:w="1288" w:type="pct"/>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B050"/>
                <w:sz w:val="20"/>
                <w:szCs w:val="20"/>
                <w:lang w:eastAsia="sk-SK"/>
              </w:rPr>
            </w:pPr>
            <w:r w:rsidRPr="00057923">
              <w:rPr>
                <w:rFonts w:ascii="Book Antiqua" w:eastAsia="Times New Roman" w:hAnsi="Book Antiqua" w:cs="Times New Roman"/>
                <w:color w:val="00B050"/>
                <w:sz w:val="20"/>
                <w:szCs w:val="20"/>
                <w:lang w:eastAsia="sk-SK"/>
              </w:rPr>
              <w:t>42,48</w:t>
            </w:r>
          </w:p>
        </w:tc>
        <w:tc>
          <w:tcPr>
            <w:tcW w:w="805" w:type="pct"/>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B050"/>
                <w:sz w:val="20"/>
                <w:szCs w:val="20"/>
                <w:lang w:eastAsia="sk-SK"/>
              </w:rPr>
            </w:pPr>
            <w:r w:rsidRPr="00057923">
              <w:rPr>
                <w:rFonts w:ascii="Book Antiqua" w:eastAsia="Times New Roman" w:hAnsi="Book Antiqua" w:cs="Times New Roman"/>
                <w:color w:val="00B050"/>
                <w:sz w:val="20"/>
                <w:szCs w:val="20"/>
                <w:lang w:eastAsia="sk-SK"/>
              </w:rPr>
              <w:t>0,9720</w:t>
            </w:r>
          </w:p>
        </w:tc>
        <w:tc>
          <w:tcPr>
            <w:tcW w:w="1932" w:type="pct"/>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00B050"/>
                <w:sz w:val="20"/>
                <w:szCs w:val="20"/>
                <w:lang w:eastAsia="sk-SK"/>
              </w:rPr>
            </w:pPr>
            <w:r w:rsidRPr="00057923">
              <w:rPr>
                <w:rFonts w:ascii="Book Antiqua" w:eastAsia="Times New Roman" w:hAnsi="Book Antiqua" w:cs="Times New Roman"/>
                <w:b/>
                <w:color w:val="00B050"/>
                <w:sz w:val="20"/>
                <w:szCs w:val="20"/>
                <w:lang w:eastAsia="sk-SK"/>
              </w:rPr>
              <w:t>53,7</w:t>
            </w:r>
          </w:p>
        </w:tc>
      </w:tr>
    </w:tbl>
    <w:p w:rsidR="00057923" w:rsidRPr="00057923" w:rsidRDefault="00057923" w:rsidP="00057923">
      <w:pPr>
        <w:spacing w:after="0" w:line="276" w:lineRule="auto"/>
        <w:jc w:val="both"/>
        <w:rPr>
          <w:rFonts w:ascii="Book Antiqua" w:eastAsia="Times New Roman" w:hAnsi="Book Antiqua" w:cs="Times New Roman"/>
          <w:i/>
          <w:sz w:val="18"/>
          <w:szCs w:val="18"/>
        </w:rPr>
      </w:pPr>
      <w:r w:rsidRPr="00057923">
        <w:rPr>
          <w:rFonts w:ascii="Book Antiqua" w:eastAsia="Times New Roman" w:hAnsi="Book Antiqua" w:cs="Times New Roman"/>
          <w:i/>
          <w:sz w:val="18"/>
          <w:szCs w:val="18"/>
        </w:rPr>
        <w:t>Pozn.: Mieru náhrady novopriznaných starobných dôchodkov sme počítali na základe priemerného osobného mzdového bodu, ktorý poistenec získal počas celej svojej kariéry. Ak by sme zohľadňovali len zárobky získané v poslednom roku dôchodkového poistenia, priemerná miera náhrady príjmu dôchodkom by bola podstatne vyššia. Prehľad kľúčových štatistických faktorov za obdobie rokov 2004 až 2016 ponúkame v Prílohe v Tabuľke 10.</w:t>
      </w:r>
    </w:p>
    <w:p w:rsidR="00057923" w:rsidRPr="00057923" w:rsidRDefault="00057923" w:rsidP="00057923">
      <w:pPr>
        <w:spacing w:after="0" w:line="276" w:lineRule="auto"/>
        <w:jc w:val="both"/>
        <w:rPr>
          <w:rFonts w:ascii="Book Antiqua" w:eastAsia="Times New Roman" w:hAnsi="Book Antiqua" w:cs="Times New Roman"/>
          <w:i/>
          <w:sz w:val="18"/>
          <w:szCs w:val="18"/>
        </w:rPr>
      </w:pPr>
      <w:r w:rsidRPr="00057923">
        <w:rPr>
          <w:rFonts w:ascii="Book Antiqua" w:eastAsia="Times New Roman" w:hAnsi="Book Antiqua" w:cs="Times New Roman"/>
          <w:i/>
          <w:sz w:val="20"/>
          <w:szCs w:val="20"/>
        </w:rPr>
        <w:t>Zdroj: Sociálna poisťovňa a výpočty MPSVR SR</w:t>
      </w:r>
    </w:p>
    <w:p w:rsidR="00057923" w:rsidRPr="00057923" w:rsidRDefault="00057923" w:rsidP="00057923">
      <w:pPr>
        <w:spacing w:after="0" w:line="276" w:lineRule="auto"/>
        <w:jc w:val="both"/>
        <w:rPr>
          <w:rFonts w:ascii="Book Antiqua" w:eastAsia="Times New Roman" w:hAnsi="Book Antiqua" w:cs="Times New Roman"/>
          <w:b/>
        </w:rPr>
      </w:pPr>
    </w:p>
    <w:p w:rsidR="00057923" w:rsidRPr="00057923" w:rsidRDefault="00057923" w:rsidP="00057923">
      <w:pPr>
        <w:spacing w:after="200" w:line="276" w:lineRule="auto"/>
        <w:jc w:val="both"/>
        <w:rPr>
          <w:rFonts w:ascii="Book Antiqua" w:eastAsia="Times New Roman" w:hAnsi="Book Antiqua" w:cs="Times New Roman"/>
          <w:b/>
          <w:i/>
        </w:rPr>
      </w:pPr>
      <w:bookmarkStart w:id="2" w:name="pracujúci_dôchodcovia"/>
      <w:r w:rsidRPr="00057923">
        <w:rPr>
          <w:rFonts w:ascii="Book Antiqua" w:eastAsia="Times New Roman" w:hAnsi="Book Antiqua" w:cs="Times New Roman"/>
          <w:b/>
          <w:i/>
        </w:rPr>
        <w:t>Pracujúci starobní dôchodcovia</w:t>
      </w:r>
    </w:p>
    <w:bookmarkEnd w:id="2"/>
    <w:p w:rsidR="00057923" w:rsidRPr="00057923" w:rsidRDefault="00057923" w:rsidP="00057923">
      <w:pPr>
        <w:spacing w:after="200" w:line="276" w:lineRule="auto"/>
        <w:ind w:firstLine="708"/>
        <w:jc w:val="both"/>
        <w:rPr>
          <w:rFonts w:ascii="Book Antiqua" w:eastAsia="Times New Roman" w:hAnsi="Book Antiqua" w:cs="Times New Roman"/>
          <w:color w:val="FF0000"/>
          <w:lang w:val="en-US"/>
        </w:rPr>
      </w:pPr>
      <w:r w:rsidRPr="00057923">
        <w:rPr>
          <w:rFonts w:ascii="Book Antiqua" w:eastAsia="Times New Roman" w:hAnsi="Book Antiqua" w:cs="Times New Roman"/>
        </w:rPr>
        <w:t xml:space="preserve">Z tabuľky 4 nižšie môžeme vidieť, že v rokoch 2014 až 2016 približne 42 % starobných dôchodcov zostalo zamestnaných v  kalendárnom roku nasledujúcom po roku, v ktorom im bol priznaný starobný dôchodok. Pracujúci starobní dôchodcovia, ktorí sú popri poberaní dôchodku aj dôchodkovo poistení, si stále zhodnocujú svoje dôchodkové nároky o jednu polovicu získaných osobných mzdových bodov. V tejto súvislosti vystáva otázka, či by nebolo možné motivovať k práci starobných dôchodcov aj tým, že by namiesto jednej polovice OMB získavali celý OMB, nakoľko platia plnú sumu odvodov na starobné </w:t>
      </w:r>
      <w:proofErr w:type="spellStart"/>
      <w:r w:rsidRPr="00057923">
        <w:rPr>
          <w:rFonts w:ascii="Book Antiqua" w:eastAsia="Times New Roman" w:hAnsi="Book Antiqua" w:cs="Times New Roman"/>
        </w:rPr>
        <w:t>positenie</w:t>
      </w:r>
      <w:proofErr w:type="spellEnd"/>
      <w:r w:rsidRPr="00057923">
        <w:rPr>
          <w:rFonts w:ascii="Book Antiqua" w:eastAsia="Times New Roman" w:hAnsi="Book Antiqua" w:cs="Times New Roman"/>
        </w:rPr>
        <w:t xml:space="preserve">. </w:t>
      </w: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t>Tabuľka 4:</w:t>
      </w:r>
      <w:r w:rsidRPr="00057923">
        <w:rPr>
          <w:rFonts w:ascii="Book Antiqua" w:eastAsia="Times New Roman" w:hAnsi="Book Antiqua" w:cs="Times New Roman"/>
        </w:rPr>
        <w:t xml:space="preserve"> Počet starobných dôchodcov pracujúcich po priznaní starobného dôchodku</w:t>
      </w:r>
    </w:p>
    <w:tbl>
      <w:tblPr>
        <w:tblW w:w="8976" w:type="dxa"/>
        <w:jc w:val="center"/>
        <w:tblCellMar>
          <w:left w:w="70" w:type="dxa"/>
          <w:right w:w="70" w:type="dxa"/>
        </w:tblCellMar>
        <w:tblLook w:val="04A0" w:firstRow="1" w:lastRow="0" w:firstColumn="1" w:lastColumn="0" w:noHBand="0" w:noVBand="1"/>
      </w:tblPr>
      <w:tblGrid>
        <w:gridCol w:w="2135"/>
        <w:gridCol w:w="2409"/>
        <w:gridCol w:w="3122"/>
        <w:gridCol w:w="1310"/>
      </w:tblGrid>
      <w:tr w:rsidR="00057923" w:rsidRPr="00057923" w:rsidTr="00A62543">
        <w:trPr>
          <w:trHeight w:val="630"/>
          <w:jc w:val="center"/>
        </w:trPr>
        <w:tc>
          <w:tcPr>
            <w:tcW w:w="2135" w:type="dxa"/>
            <w:tcBorders>
              <w:top w:val="single" w:sz="8" w:space="0" w:color="auto"/>
              <w:left w:val="single" w:sz="8" w:space="0" w:color="auto"/>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Rok priznania dôchodku</w:t>
            </w:r>
          </w:p>
        </w:tc>
        <w:tc>
          <w:tcPr>
            <w:tcW w:w="2409" w:type="dxa"/>
            <w:tcBorders>
              <w:top w:val="single" w:sz="8" w:space="0" w:color="auto"/>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 xml:space="preserve">Novopriznaní starobní dôchodcovia </w:t>
            </w:r>
          </w:p>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A</w:t>
            </w:r>
          </w:p>
        </w:tc>
        <w:tc>
          <w:tcPr>
            <w:tcW w:w="3122" w:type="dxa"/>
            <w:tcBorders>
              <w:top w:val="single" w:sz="8" w:space="0" w:color="auto"/>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val="en-US" w:eastAsia="sk-SK"/>
              </w:rPr>
              <w:t>P</w:t>
            </w:r>
            <w:proofErr w:type="spellStart"/>
            <w:r w:rsidRPr="00057923">
              <w:rPr>
                <w:rFonts w:ascii="Book Antiqua" w:eastAsia="Times New Roman" w:hAnsi="Book Antiqua" w:cs="Times New Roman"/>
                <w:b/>
                <w:bCs/>
                <w:color w:val="000000"/>
                <w:sz w:val="20"/>
                <w:szCs w:val="20"/>
                <w:lang w:eastAsia="sk-SK"/>
              </w:rPr>
              <w:t>očet</w:t>
            </w:r>
            <w:proofErr w:type="spellEnd"/>
            <w:r w:rsidRPr="00057923">
              <w:rPr>
                <w:rFonts w:ascii="Book Antiqua" w:eastAsia="Times New Roman" w:hAnsi="Book Antiqua" w:cs="Times New Roman"/>
                <w:b/>
                <w:bCs/>
                <w:color w:val="000000"/>
                <w:sz w:val="20"/>
                <w:szCs w:val="20"/>
                <w:lang w:eastAsia="sk-SK"/>
              </w:rPr>
              <w:t xml:space="preserve"> pracujúcich        k júnu nasledujúceho kalendárneho roka</w:t>
            </w:r>
          </w:p>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B</w:t>
            </w:r>
          </w:p>
        </w:tc>
        <w:tc>
          <w:tcPr>
            <w:tcW w:w="1310" w:type="dxa"/>
            <w:tcBorders>
              <w:top w:val="single" w:sz="8" w:space="0" w:color="auto"/>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Podiel</w:t>
            </w:r>
          </w:p>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B/A</w:t>
            </w:r>
          </w:p>
        </w:tc>
      </w:tr>
      <w:tr w:rsidR="00057923" w:rsidRPr="00057923" w:rsidTr="00A62543">
        <w:trPr>
          <w:trHeight w:val="300"/>
          <w:jc w:val="center"/>
        </w:trPr>
        <w:tc>
          <w:tcPr>
            <w:tcW w:w="2135" w:type="dxa"/>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jc w:val="right"/>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2014</w:t>
            </w:r>
          </w:p>
        </w:tc>
        <w:tc>
          <w:tcPr>
            <w:tcW w:w="2409" w:type="dxa"/>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31 320</w:t>
            </w:r>
          </w:p>
        </w:tc>
        <w:tc>
          <w:tcPr>
            <w:tcW w:w="3122" w:type="dxa"/>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rPr>
              <w:t>13 098</w:t>
            </w:r>
          </w:p>
        </w:tc>
        <w:tc>
          <w:tcPr>
            <w:tcW w:w="1310" w:type="dxa"/>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rPr>
              <w:t>41,8%</w:t>
            </w:r>
          </w:p>
        </w:tc>
      </w:tr>
      <w:tr w:rsidR="00057923" w:rsidRPr="00057923" w:rsidTr="00A62543">
        <w:trPr>
          <w:trHeight w:val="300"/>
          <w:jc w:val="center"/>
        </w:trPr>
        <w:tc>
          <w:tcPr>
            <w:tcW w:w="2135" w:type="dxa"/>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jc w:val="right"/>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2015</w:t>
            </w:r>
          </w:p>
        </w:tc>
        <w:tc>
          <w:tcPr>
            <w:tcW w:w="2409" w:type="dxa"/>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38 405</w:t>
            </w:r>
          </w:p>
        </w:tc>
        <w:tc>
          <w:tcPr>
            <w:tcW w:w="3122" w:type="dxa"/>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rPr>
              <w:t>16 173</w:t>
            </w:r>
          </w:p>
        </w:tc>
        <w:tc>
          <w:tcPr>
            <w:tcW w:w="1310" w:type="dxa"/>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rPr>
              <w:t>42,1%</w:t>
            </w:r>
          </w:p>
        </w:tc>
      </w:tr>
      <w:tr w:rsidR="00057923" w:rsidRPr="00057923" w:rsidTr="00A62543">
        <w:trPr>
          <w:trHeight w:val="315"/>
          <w:jc w:val="center"/>
        </w:trPr>
        <w:tc>
          <w:tcPr>
            <w:tcW w:w="2135" w:type="dxa"/>
            <w:tcBorders>
              <w:top w:val="nil"/>
              <w:left w:val="single" w:sz="8" w:space="0" w:color="auto"/>
              <w:bottom w:val="single" w:sz="8" w:space="0" w:color="auto"/>
              <w:right w:val="single" w:sz="4" w:space="0" w:color="auto"/>
            </w:tcBorders>
            <w:noWrap/>
            <w:vAlign w:val="bottom"/>
            <w:hideMark/>
          </w:tcPr>
          <w:p w:rsidR="00057923" w:rsidRPr="00057923" w:rsidRDefault="00057923" w:rsidP="00057923">
            <w:pPr>
              <w:spacing w:after="0" w:line="240" w:lineRule="auto"/>
              <w:jc w:val="right"/>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2016</w:t>
            </w:r>
          </w:p>
        </w:tc>
        <w:tc>
          <w:tcPr>
            <w:tcW w:w="2409" w:type="dxa"/>
            <w:tcBorders>
              <w:top w:val="nil"/>
              <w:left w:val="nil"/>
              <w:bottom w:val="single" w:sz="8"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28 809</w:t>
            </w:r>
          </w:p>
        </w:tc>
        <w:tc>
          <w:tcPr>
            <w:tcW w:w="3122" w:type="dxa"/>
            <w:tcBorders>
              <w:top w:val="nil"/>
              <w:left w:val="nil"/>
              <w:bottom w:val="single" w:sz="8"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highlight w:val="yellow"/>
                <w:lang w:eastAsia="sk-SK"/>
              </w:rPr>
            </w:pPr>
            <w:r w:rsidRPr="00057923">
              <w:rPr>
                <w:rFonts w:ascii="Book Antiqua" w:eastAsia="Times New Roman" w:hAnsi="Book Antiqua" w:cs="Times New Roman"/>
                <w:color w:val="000000"/>
                <w:sz w:val="20"/>
                <w:szCs w:val="20"/>
              </w:rPr>
              <w:t>12 037</w:t>
            </w:r>
          </w:p>
        </w:tc>
        <w:tc>
          <w:tcPr>
            <w:tcW w:w="1310" w:type="dxa"/>
            <w:tcBorders>
              <w:top w:val="nil"/>
              <w:left w:val="nil"/>
              <w:bottom w:val="single" w:sz="8"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rPr>
              <w:t>41,8%</w:t>
            </w:r>
          </w:p>
        </w:tc>
      </w:tr>
    </w:tbl>
    <w:p w:rsidR="00057923" w:rsidRPr="00057923" w:rsidRDefault="00057923" w:rsidP="00057923">
      <w:pPr>
        <w:spacing w:after="0" w:line="276" w:lineRule="auto"/>
        <w:jc w:val="both"/>
        <w:rPr>
          <w:rFonts w:ascii="Book Antiqua" w:eastAsia="Times New Roman" w:hAnsi="Book Antiqua" w:cs="Times New Roman"/>
          <w:i/>
          <w:sz w:val="18"/>
          <w:szCs w:val="18"/>
        </w:rPr>
      </w:pPr>
      <w:r w:rsidRPr="00057923">
        <w:rPr>
          <w:rFonts w:ascii="Book Antiqua" w:eastAsia="Times New Roman" w:hAnsi="Book Antiqua" w:cs="Times New Roman"/>
          <w:i/>
          <w:sz w:val="20"/>
          <w:szCs w:val="20"/>
        </w:rPr>
        <w:t xml:space="preserve">Zdroj: MPSVR SR na základe </w:t>
      </w:r>
      <w:proofErr w:type="spellStart"/>
      <w:r w:rsidRPr="00057923">
        <w:rPr>
          <w:rFonts w:ascii="Book Antiqua" w:eastAsia="Times New Roman" w:hAnsi="Book Antiqua" w:cs="Times New Roman"/>
          <w:i/>
          <w:sz w:val="20"/>
          <w:szCs w:val="20"/>
        </w:rPr>
        <w:t>mikroúdajov</w:t>
      </w:r>
      <w:proofErr w:type="spellEnd"/>
      <w:r w:rsidRPr="00057923">
        <w:rPr>
          <w:rFonts w:ascii="Book Antiqua" w:eastAsia="Times New Roman" w:hAnsi="Book Antiqua" w:cs="Times New Roman"/>
          <w:i/>
          <w:sz w:val="20"/>
          <w:szCs w:val="20"/>
        </w:rPr>
        <w:t xml:space="preserve"> od Sociálnej poisťovne</w:t>
      </w:r>
    </w:p>
    <w:p w:rsidR="00057923" w:rsidRPr="00057923" w:rsidRDefault="00057923" w:rsidP="00057923">
      <w:pPr>
        <w:spacing w:after="0" w:line="276" w:lineRule="auto"/>
        <w:ind w:firstLine="708"/>
        <w:jc w:val="both"/>
        <w:rPr>
          <w:rFonts w:ascii="Book Antiqua" w:eastAsia="Times New Roman" w:hAnsi="Book Antiqua" w:cs="Times New Roman"/>
          <w:i/>
          <w:sz w:val="18"/>
          <w:szCs w:val="18"/>
        </w:rPr>
      </w:pP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Rozdielne zastúpenie pracujúcich dôchodcov môžeme sledovať </w:t>
      </w:r>
      <w:r w:rsidRPr="00057923">
        <w:rPr>
          <w:rFonts w:ascii="Book Antiqua" w:eastAsia="Times New Roman" w:hAnsi="Book Antiqua" w:cs="Times New Roman"/>
          <w:b/>
        </w:rPr>
        <w:t>v období krízy, kedy bolo pracujúcich novopriznaných starobných dôchodcov prirodzene menej</w:t>
      </w:r>
      <w:r w:rsidRPr="00057923">
        <w:rPr>
          <w:rFonts w:ascii="Book Antiqua" w:eastAsia="Times New Roman" w:hAnsi="Book Antiqua" w:cs="Times New Roman"/>
        </w:rPr>
        <w:t xml:space="preserve">, čo ilustruje tabuľka nižšie. </w:t>
      </w:r>
      <w:r w:rsidRPr="00057923">
        <w:rPr>
          <w:rFonts w:ascii="Book Antiqua" w:eastAsia="Times New Roman" w:hAnsi="Book Antiqua" w:cs="Times New Roman"/>
          <w:b/>
        </w:rPr>
        <w:t>Taktiež je zrejmý trend znižovania účasti na trhu práce s pribúdajúcimi rokmi od veku odchodu do dôchodku.</w:t>
      </w:r>
      <w:r w:rsidRPr="00057923">
        <w:rPr>
          <w:rFonts w:ascii="Book Antiqua" w:eastAsia="Times New Roman" w:hAnsi="Book Antiqua" w:cs="Times New Roman"/>
        </w:rPr>
        <w:t xml:space="preserve"> Zaujímavé by bolo aj porovnanie počtu pracujúcich novopriznaných starobných dôchodcov, ktorí odchádzali do dôchodku v obdobiach pred rokom 2009. Týmito údajmi však v súčasnosti nedisponujeme.</w:t>
      </w: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t>Tabuľka 5:</w:t>
      </w:r>
      <w:r w:rsidRPr="00057923">
        <w:rPr>
          <w:rFonts w:ascii="Book Antiqua" w:eastAsia="Times New Roman" w:hAnsi="Book Antiqua" w:cs="Times New Roman"/>
        </w:rPr>
        <w:t xml:space="preserve"> Počet starobných dôchodcov pracujúcich po priznaní starobného dôchodku postupne v období rokov t+1 až t+8, kde t predstavuje rok, v ktorom bol priznaný starobný dôchodku</w:t>
      </w:r>
    </w:p>
    <w:tbl>
      <w:tblPr>
        <w:tblW w:w="9070" w:type="dxa"/>
        <w:jc w:val="center"/>
        <w:tblCellMar>
          <w:left w:w="70" w:type="dxa"/>
          <w:right w:w="70" w:type="dxa"/>
        </w:tblCellMar>
        <w:tblLook w:val="04A0" w:firstRow="1" w:lastRow="0" w:firstColumn="1" w:lastColumn="0" w:noHBand="0" w:noVBand="1"/>
      </w:tblPr>
      <w:tblGrid>
        <w:gridCol w:w="1018"/>
        <w:gridCol w:w="980"/>
        <w:gridCol w:w="1004"/>
        <w:gridCol w:w="993"/>
        <w:gridCol w:w="992"/>
        <w:gridCol w:w="992"/>
        <w:gridCol w:w="1134"/>
        <w:gridCol w:w="992"/>
        <w:gridCol w:w="965"/>
      </w:tblGrid>
      <w:tr w:rsidR="00057923" w:rsidRPr="00057923" w:rsidTr="00A62543">
        <w:trPr>
          <w:trHeight w:val="315"/>
          <w:jc w:val="center"/>
        </w:trPr>
        <w:tc>
          <w:tcPr>
            <w:tcW w:w="1018" w:type="dxa"/>
            <w:tcBorders>
              <w:top w:val="single" w:sz="8" w:space="0" w:color="auto"/>
              <w:left w:val="single" w:sz="8" w:space="0" w:color="auto"/>
              <w:bottom w:val="single" w:sz="8" w:space="0" w:color="auto"/>
              <w:right w:val="single" w:sz="4"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lastRenderedPageBreak/>
              <w:t>rok priznania SD</w:t>
            </w:r>
          </w:p>
        </w:tc>
        <w:tc>
          <w:tcPr>
            <w:tcW w:w="980" w:type="dxa"/>
            <w:tcBorders>
              <w:top w:val="single" w:sz="8" w:space="0" w:color="auto"/>
              <w:left w:val="nil"/>
              <w:bottom w:val="single" w:sz="8" w:space="0" w:color="auto"/>
              <w:right w:val="single" w:sz="4" w:space="0" w:color="auto"/>
            </w:tcBorders>
            <w:noWrap/>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 v marci roku t+1</w:t>
            </w:r>
          </w:p>
        </w:tc>
        <w:tc>
          <w:tcPr>
            <w:tcW w:w="1004" w:type="dxa"/>
            <w:tcBorders>
              <w:top w:val="single" w:sz="8" w:space="0" w:color="auto"/>
              <w:left w:val="nil"/>
              <w:bottom w:val="single" w:sz="8" w:space="0" w:color="auto"/>
              <w:right w:val="single" w:sz="4" w:space="0" w:color="auto"/>
            </w:tcBorders>
            <w:noWrap/>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 v marci roku t+2</w:t>
            </w:r>
          </w:p>
        </w:tc>
        <w:tc>
          <w:tcPr>
            <w:tcW w:w="993" w:type="dxa"/>
            <w:tcBorders>
              <w:top w:val="single" w:sz="8" w:space="0" w:color="auto"/>
              <w:left w:val="nil"/>
              <w:bottom w:val="single" w:sz="8" w:space="0" w:color="auto"/>
              <w:right w:val="single" w:sz="4" w:space="0" w:color="auto"/>
            </w:tcBorders>
            <w:noWrap/>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 v marci roku t+3</w:t>
            </w:r>
          </w:p>
        </w:tc>
        <w:tc>
          <w:tcPr>
            <w:tcW w:w="992" w:type="dxa"/>
            <w:tcBorders>
              <w:top w:val="single" w:sz="8" w:space="0" w:color="auto"/>
              <w:left w:val="nil"/>
              <w:bottom w:val="single" w:sz="8" w:space="0" w:color="auto"/>
              <w:right w:val="single" w:sz="4" w:space="0" w:color="auto"/>
            </w:tcBorders>
            <w:noWrap/>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 v marci roku t+4</w:t>
            </w:r>
          </w:p>
        </w:tc>
        <w:tc>
          <w:tcPr>
            <w:tcW w:w="992" w:type="dxa"/>
            <w:tcBorders>
              <w:top w:val="single" w:sz="8" w:space="0" w:color="auto"/>
              <w:left w:val="nil"/>
              <w:bottom w:val="single" w:sz="8" w:space="0" w:color="auto"/>
              <w:right w:val="single" w:sz="4" w:space="0" w:color="auto"/>
            </w:tcBorders>
            <w:noWrap/>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 v marci roku t+5</w:t>
            </w:r>
          </w:p>
        </w:tc>
        <w:tc>
          <w:tcPr>
            <w:tcW w:w="1134" w:type="dxa"/>
            <w:tcBorders>
              <w:top w:val="single" w:sz="8" w:space="0" w:color="auto"/>
              <w:left w:val="nil"/>
              <w:bottom w:val="single" w:sz="8" w:space="0" w:color="auto"/>
              <w:right w:val="single" w:sz="4" w:space="0" w:color="auto"/>
            </w:tcBorders>
            <w:noWrap/>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 v marci roku t+6</w:t>
            </w:r>
          </w:p>
        </w:tc>
        <w:tc>
          <w:tcPr>
            <w:tcW w:w="992" w:type="dxa"/>
            <w:tcBorders>
              <w:top w:val="single" w:sz="8" w:space="0" w:color="auto"/>
              <w:left w:val="nil"/>
              <w:bottom w:val="single" w:sz="8" w:space="0" w:color="auto"/>
              <w:right w:val="single" w:sz="4" w:space="0" w:color="auto"/>
            </w:tcBorders>
            <w:noWrap/>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 v marci roku t+7</w:t>
            </w:r>
          </w:p>
        </w:tc>
        <w:tc>
          <w:tcPr>
            <w:tcW w:w="965" w:type="dxa"/>
            <w:tcBorders>
              <w:top w:val="single" w:sz="8" w:space="0" w:color="auto"/>
              <w:left w:val="nil"/>
              <w:bottom w:val="single" w:sz="8" w:space="0" w:color="auto"/>
              <w:right w:val="single" w:sz="4" w:space="0" w:color="auto"/>
            </w:tcBorders>
            <w:noWrap/>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 v marci roku t+8</w:t>
            </w:r>
          </w:p>
        </w:tc>
      </w:tr>
      <w:tr w:rsidR="00057923" w:rsidRPr="00057923" w:rsidTr="00A62543">
        <w:trPr>
          <w:trHeight w:val="300"/>
          <w:jc w:val="center"/>
        </w:trPr>
        <w:tc>
          <w:tcPr>
            <w:tcW w:w="1018" w:type="dxa"/>
            <w:tcBorders>
              <w:top w:val="nil"/>
              <w:left w:val="single" w:sz="8" w:space="0" w:color="auto"/>
              <w:bottom w:val="single" w:sz="4" w:space="0" w:color="auto"/>
              <w:right w:val="single" w:sz="4"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2009</w:t>
            </w:r>
          </w:p>
        </w:tc>
        <w:tc>
          <w:tcPr>
            <w:tcW w:w="980"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34,8%</w:t>
            </w:r>
          </w:p>
        </w:tc>
        <w:tc>
          <w:tcPr>
            <w:tcW w:w="100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26,0%</w:t>
            </w:r>
          </w:p>
        </w:tc>
        <w:tc>
          <w:tcPr>
            <w:tcW w:w="993"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20,4%</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23,1%</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20,8%</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18,6%</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16,9%</w:t>
            </w:r>
          </w:p>
        </w:tc>
        <w:tc>
          <w:tcPr>
            <w:tcW w:w="965"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14,3%</w:t>
            </w:r>
          </w:p>
        </w:tc>
      </w:tr>
      <w:tr w:rsidR="00057923" w:rsidRPr="00057923" w:rsidTr="00A62543">
        <w:trPr>
          <w:trHeight w:val="300"/>
          <w:jc w:val="center"/>
        </w:trPr>
        <w:tc>
          <w:tcPr>
            <w:tcW w:w="1018" w:type="dxa"/>
            <w:tcBorders>
              <w:top w:val="nil"/>
              <w:left w:val="single" w:sz="8" w:space="0" w:color="auto"/>
              <w:bottom w:val="single" w:sz="4" w:space="0" w:color="auto"/>
              <w:right w:val="single" w:sz="4"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2010</w:t>
            </w:r>
          </w:p>
        </w:tc>
        <w:tc>
          <w:tcPr>
            <w:tcW w:w="980"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28,6%</w:t>
            </w:r>
          </w:p>
        </w:tc>
        <w:tc>
          <w:tcPr>
            <w:tcW w:w="100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21,2%</w:t>
            </w:r>
          </w:p>
        </w:tc>
        <w:tc>
          <w:tcPr>
            <w:tcW w:w="993"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22,9%</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20,7%</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18,4%</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16,5%</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14,5%</w:t>
            </w:r>
          </w:p>
        </w:tc>
        <w:tc>
          <w:tcPr>
            <w:tcW w:w="965"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w:t>
            </w:r>
          </w:p>
        </w:tc>
      </w:tr>
      <w:tr w:rsidR="00057923" w:rsidRPr="00057923" w:rsidTr="00A62543">
        <w:trPr>
          <w:trHeight w:val="300"/>
          <w:jc w:val="center"/>
        </w:trPr>
        <w:tc>
          <w:tcPr>
            <w:tcW w:w="1018" w:type="dxa"/>
            <w:tcBorders>
              <w:top w:val="nil"/>
              <w:left w:val="single" w:sz="8" w:space="0" w:color="auto"/>
              <w:bottom w:val="single" w:sz="4" w:space="0" w:color="auto"/>
              <w:right w:val="single" w:sz="4"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2011</w:t>
            </w:r>
          </w:p>
        </w:tc>
        <w:tc>
          <w:tcPr>
            <w:tcW w:w="980"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26,7%</w:t>
            </w:r>
          </w:p>
        </w:tc>
        <w:tc>
          <w:tcPr>
            <w:tcW w:w="100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26,2%</w:t>
            </w:r>
          </w:p>
        </w:tc>
        <w:tc>
          <w:tcPr>
            <w:tcW w:w="993"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23,3%</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20,3%</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18,5%</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16,3%</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w:t>
            </w:r>
          </w:p>
        </w:tc>
        <w:tc>
          <w:tcPr>
            <w:tcW w:w="965"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w:t>
            </w:r>
          </w:p>
        </w:tc>
      </w:tr>
      <w:tr w:rsidR="00057923" w:rsidRPr="00057923" w:rsidTr="00A62543">
        <w:trPr>
          <w:trHeight w:val="300"/>
          <w:jc w:val="center"/>
        </w:trPr>
        <w:tc>
          <w:tcPr>
            <w:tcW w:w="1018" w:type="dxa"/>
            <w:tcBorders>
              <w:top w:val="nil"/>
              <w:left w:val="single" w:sz="8" w:space="0" w:color="auto"/>
              <w:bottom w:val="single" w:sz="4" w:space="0" w:color="auto"/>
              <w:right w:val="single" w:sz="4"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2012</w:t>
            </w:r>
          </w:p>
        </w:tc>
        <w:tc>
          <w:tcPr>
            <w:tcW w:w="980"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36,8%</w:t>
            </w:r>
          </w:p>
        </w:tc>
        <w:tc>
          <w:tcPr>
            <w:tcW w:w="100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30,8%</w:t>
            </w:r>
          </w:p>
        </w:tc>
        <w:tc>
          <w:tcPr>
            <w:tcW w:w="993"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26,8%</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23,6%</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20,6%</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w:t>
            </w:r>
          </w:p>
        </w:tc>
        <w:tc>
          <w:tcPr>
            <w:tcW w:w="965"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w:t>
            </w:r>
          </w:p>
        </w:tc>
      </w:tr>
      <w:tr w:rsidR="00057923" w:rsidRPr="00057923" w:rsidTr="00A62543">
        <w:trPr>
          <w:trHeight w:val="300"/>
          <w:jc w:val="center"/>
        </w:trPr>
        <w:tc>
          <w:tcPr>
            <w:tcW w:w="1018" w:type="dxa"/>
            <w:tcBorders>
              <w:top w:val="nil"/>
              <w:left w:val="single" w:sz="8" w:space="0" w:color="auto"/>
              <w:bottom w:val="single" w:sz="4" w:space="0" w:color="auto"/>
              <w:right w:val="single" w:sz="4"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2013</w:t>
            </w:r>
          </w:p>
        </w:tc>
        <w:tc>
          <w:tcPr>
            <w:tcW w:w="980"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41,7%</w:t>
            </w:r>
          </w:p>
        </w:tc>
        <w:tc>
          <w:tcPr>
            <w:tcW w:w="100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34,5%</w:t>
            </w:r>
          </w:p>
        </w:tc>
        <w:tc>
          <w:tcPr>
            <w:tcW w:w="993"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30,3%</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26,1%</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w:t>
            </w:r>
          </w:p>
        </w:tc>
        <w:tc>
          <w:tcPr>
            <w:tcW w:w="965"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w:t>
            </w:r>
          </w:p>
        </w:tc>
      </w:tr>
      <w:tr w:rsidR="00057923" w:rsidRPr="00057923" w:rsidTr="00A62543">
        <w:trPr>
          <w:trHeight w:val="315"/>
          <w:jc w:val="center"/>
        </w:trPr>
        <w:tc>
          <w:tcPr>
            <w:tcW w:w="1018" w:type="dxa"/>
            <w:tcBorders>
              <w:top w:val="nil"/>
              <w:left w:val="single" w:sz="8" w:space="0" w:color="auto"/>
              <w:bottom w:val="single" w:sz="4" w:space="0" w:color="auto"/>
              <w:right w:val="single" w:sz="4"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2014</w:t>
            </w:r>
          </w:p>
        </w:tc>
        <w:tc>
          <w:tcPr>
            <w:tcW w:w="980"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42,6%</w:t>
            </w:r>
          </w:p>
        </w:tc>
        <w:tc>
          <w:tcPr>
            <w:tcW w:w="100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36,4%</w:t>
            </w:r>
          </w:p>
        </w:tc>
        <w:tc>
          <w:tcPr>
            <w:tcW w:w="993"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31,1%</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w:t>
            </w:r>
          </w:p>
        </w:tc>
        <w:tc>
          <w:tcPr>
            <w:tcW w:w="965"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w:t>
            </w:r>
          </w:p>
        </w:tc>
      </w:tr>
      <w:tr w:rsidR="00057923" w:rsidRPr="00057923" w:rsidTr="00A62543">
        <w:trPr>
          <w:trHeight w:val="315"/>
          <w:jc w:val="center"/>
        </w:trPr>
        <w:tc>
          <w:tcPr>
            <w:tcW w:w="1018" w:type="dxa"/>
            <w:tcBorders>
              <w:top w:val="single" w:sz="4" w:space="0" w:color="auto"/>
              <w:left w:val="single" w:sz="4" w:space="0" w:color="auto"/>
              <w:bottom w:val="single" w:sz="4" w:space="0" w:color="auto"/>
              <w:right w:val="single" w:sz="4" w:space="0" w:color="auto"/>
            </w:tcBorders>
            <w:noWrap/>
            <w:vAlign w:val="center"/>
          </w:tcPr>
          <w:p w:rsidR="00057923" w:rsidRPr="00057923" w:rsidRDefault="00057923" w:rsidP="00057923">
            <w:pPr>
              <w:spacing w:after="0" w:line="240" w:lineRule="auto"/>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2015</w:t>
            </w:r>
          </w:p>
        </w:tc>
        <w:tc>
          <w:tcPr>
            <w:tcW w:w="980" w:type="dxa"/>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40" w:lineRule="auto"/>
              <w:jc w:val="center"/>
              <w:rPr>
                <w:rFonts w:ascii="Book Antiqua" w:eastAsia="Times New Roman" w:hAnsi="Book Antiqua" w:cs="Times New Roman"/>
                <w:bCs/>
                <w:color w:val="000000"/>
                <w:sz w:val="20"/>
                <w:szCs w:val="20"/>
                <w:lang w:eastAsia="sk-SK"/>
              </w:rPr>
            </w:pPr>
            <w:r w:rsidRPr="00057923">
              <w:rPr>
                <w:rFonts w:ascii="Book Antiqua" w:eastAsia="Times New Roman" w:hAnsi="Book Antiqua" w:cs="Times New Roman"/>
                <w:bCs/>
                <w:color w:val="000000"/>
                <w:sz w:val="20"/>
                <w:szCs w:val="20"/>
                <w:lang w:eastAsia="sk-SK"/>
              </w:rPr>
              <w:t>43,5%</w:t>
            </w:r>
          </w:p>
        </w:tc>
        <w:tc>
          <w:tcPr>
            <w:tcW w:w="1004" w:type="dxa"/>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40" w:lineRule="auto"/>
              <w:jc w:val="center"/>
              <w:rPr>
                <w:rFonts w:ascii="Book Antiqua" w:eastAsia="Times New Roman" w:hAnsi="Book Antiqua" w:cs="Times New Roman"/>
                <w:bCs/>
                <w:color w:val="000000"/>
                <w:sz w:val="20"/>
                <w:szCs w:val="20"/>
                <w:lang w:eastAsia="sk-SK"/>
              </w:rPr>
            </w:pPr>
            <w:r w:rsidRPr="00057923">
              <w:rPr>
                <w:rFonts w:ascii="Book Antiqua" w:eastAsia="Times New Roman" w:hAnsi="Book Antiqua" w:cs="Times New Roman"/>
                <w:bCs/>
                <w:color w:val="000000"/>
                <w:sz w:val="20"/>
                <w:szCs w:val="20"/>
                <w:lang w:eastAsia="sk-SK"/>
              </w:rPr>
              <w:t>35,5%</w:t>
            </w:r>
          </w:p>
        </w:tc>
        <w:tc>
          <w:tcPr>
            <w:tcW w:w="993" w:type="dxa"/>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40" w:lineRule="auto"/>
              <w:jc w:val="center"/>
              <w:rPr>
                <w:rFonts w:ascii="Book Antiqua" w:eastAsia="Times New Roman" w:hAnsi="Book Antiqua" w:cs="Times New Roman"/>
                <w:bCs/>
                <w:color w:val="000000"/>
                <w:sz w:val="20"/>
                <w:szCs w:val="20"/>
                <w:lang w:eastAsia="sk-SK"/>
              </w:rPr>
            </w:pPr>
            <w:r w:rsidRPr="00057923">
              <w:rPr>
                <w:rFonts w:ascii="Book Antiqua" w:eastAsia="Times New Roman" w:hAnsi="Book Antiqua" w:cs="Times New Roman"/>
                <w:bCs/>
                <w:color w:val="000000"/>
                <w:sz w:val="20"/>
                <w:szCs w:val="20"/>
                <w:lang w:eastAsia="sk-SK"/>
              </w:rPr>
              <w:t>-</w:t>
            </w:r>
          </w:p>
        </w:tc>
        <w:tc>
          <w:tcPr>
            <w:tcW w:w="992" w:type="dxa"/>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40" w:lineRule="auto"/>
              <w:jc w:val="center"/>
              <w:rPr>
                <w:rFonts w:ascii="Book Antiqua" w:eastAsia="Times New Roman" w:hAnsi="Book Antiqua" w:cs="Times New Roman"/>
                <w:bCs/>
                <w:color w:val="000000"/>
                <w:sz w:val="20"/>
                <w:szCs w:val="20"/>
                <w:lang w:eastAsia="sk-SK"/>
              </w:rPr>
            </w:pPr>
            <w:r w:rsidRPr="00057923">
              <w:rPr>
                <w:rFonts w:ascii="Book Antiqua" w:eastAsia="Times New Roman" w:hAnsi="Book Antiqua" w:cs="Times New Roman"/>
                <w:bCs/>
                <w:color w:val="000000"/>
                <w:sz w:val="20"/>
                <w:szCs w:val="20"/>
                <w:lang w:eastAsia="sk-SK"/>
              </w:rPr>
              <w:t>-</w:t>
            </w:r>
          </w:p>
        </w:tc>
        <w:tc>
          <w:tcPr>
            <w:tcW w:w="992" w:type="dxa"/>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40" w:lineRule="auto"/>
              <w:jc w:val="center"/>
              <w:rPr>
                <w:rFonts w:ascii="Book Antiqua" w:eastAsia="Times New Roman" w:hAnsi="Book Antiqua" w:cs="Times New Roman"/>
                <w:bCs/>
                <w:color w:val="000000"/>
                <w:sz w:val="20"/>
                <w:szCs w:val="20"/>
                <w:lang w:eastAsia="sk-SK"/>
              </w:rPr>
            </w:pPr>
            <w:r w:rsidRPr="00057923">
              <w:rPr>
                <w:rFonts w:ascii="Book Antiqua" w:eastAsia="Times New Roman" w:hAnsi="Book Antiqua" w:cs="Times New Roman"/>
                <w:bCs/>
                <w:color w:val="000000"/>
                <w:sz w:val="20"/>
                <w:szCs w:val="20"/>
                <w:lang w:eastAsia="sk-SK"/>
              </w:rPr>
              <w:t>-</w:t>
            </w:r>
          </w:p>
        </w:tc>
        <w:tc>
          <w:tcPr>
            <w:tcW w:w="1134" w:type="dxa"/>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40" w:lineRule="auto"/>
              <w:jc w:val="center"/>
              <w:rPr>
                <w:rFonts w:ascii="Book Antiqua" w:eastAsia="Times New Roman" w:hAnsi="Book Antiqua" w:cs="Times New Roman"/>
                <w:bCs/>
                <w:color w:val="000000"/>
                <w:sz w:val="20"/>
                <w:szCs w:val="20"/>
                <w:lang w:eastAsia="sk-SK"/>
              </w:rPr>
            </w:pPr>
            <w:r w:rsidRPr="00057923">
              <w:rPr>
                <w:rFonts w:ascii="Book Antiqua" w:eastAsia="Times New Roman" w:hAnsi="Book Antiqua" w:cs="Times New Roman"/>
                <w:bCs/>
                <w:color w:val="000000"/>
                <w:sz w:val="20"/>
                <w:szCs w:val="20"/>
                <w:lang w:eastAsia="sk-SK"/>
              </w:rPr>
              <w:t>-</w:t>
            </w:r>
          </w:p>
        </w:tc>
        <w:tc>
          <w:tcPr>
            <w:tcW w:w="992" w:type="dxa"/>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40" w:lineRule="auto"/>
              <w:jc w:val="center"/>
              <w:rPr>
                <w:rFonts w:ascii="Book Antiqua" w:eastAsia="Times New Roman" w:hAnsi="Book Antiqua" w:cs="Times New Roman"/>
                <w:bCs/>
                <w:color w:val="000000"/>
                <w:sz w:val="20"/>
                <w:szCs w:val="20"/>
                <w:lang w:eastAsia="sk-SK"/>
              </w:rPr>
            </w:pPr>
            <w:r w:rsidRPr="00057923">
              <w:rPr>
                <w:rFonts w:ascii="Book Antiqua" w:eastAsia="Times New Roman" w:hAnsi="Book Antiqua" w:cs="Times New Roman"/>
                <w:bCs/>
                <w:color w:val="000000"/>
                <w:sz w:val="20"/>
                <w:szCs w:val="20"/>
                <w:lang w:eastAsia="sk-SK"/>
              </w:rPr>
              <w:t>-</w:t>
            </w:r>
          </w:p>
        </w:tc>
        <w:tc>
          <w:tcPr>
            <w:tcW w:w="965" w:type="dxa"/>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40" w:lineRule="auto"/>
              <w:jc w:val="center"/>
              <w:rPr>
                <w:rFonts w:ascii="Book Antiqua" w:eastAsia="Times New Roman" w:hAnsi="Book Antiqua" w:cs="Times New Roman"/>
                <w:bCs/>
                <w:color w:val="000000"/>
                <w:sz w:val="20"/>
                <w:szCs w:val="20"/>
                <w:lang w:eastAsia="sk-SK"/>
              </w:rPr>
            </w:pPr>
            <w:r w:rsidRPr="00057923">
              <w:rPr>
                <w:rFonts w:ascii="Book Antiqua" w:eastAsia="Times New Roman" w:hAnsi="Book Antiqua" w:cs="Times New Roman"/>
                <w:bCs/>
                <w:color w:val="000000"/>
                <w:sz w:val="20"/>
                <w:szCs w:val="20"/>
                <w:lang w:eastAsia="sk-SK"/>
              </w:rPr>
              <w:t>-</w:t>
            </w:r>
          </w:p>
        </w:tc>
      </w:tr>
      <w:tr w:rsidR="00057923" w:rsidRPr="00057923" w:rsidTr="00A62543">
        <w:trPr>
          <w:trHeight w:val="315"/>
          <w:jc w:val="center"/>
        </w:trPr>
        <w:tc>
          <w:tcPr>
            <w:tcW w:w="1018" w:type="dxa"/>
            <w:tcBorders>
              <w:top w:val="single" w:sz="4" w:space="0" w:color="auto"/>
              <w:left w:val="single" w:sz="4" w:space="0" w:color="auto"/>
              <w:bottom w:val="single" w:sz="4" w:space="0" w:color="auto"/>
              <w:right w:val="single" w:sz="4" w:space="0" w:color="auto"/>
            </w:tcBorders>
            <w:noWrap/>
            <w:vAlign w:val="center"/>
          </w:tcPr>
          <w:p w:rsidR="00057923" w:rsidRPr="00057923" w:rsidRDefault="00057923" w:rsidP="00057923">
            <w:pPr>
              <w:spacing w:after="0" w:line="240" w:lineRule="auto"/>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2016</w:t>
            </w:r>
          </w:p>
        </w:tc>
        <w:tc>
          <w:tcPr>
            <w:tcW w:w="980" w:type="dxa"/>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40" w:lineRule="auto"/>
              <w:jc w:val="center"/>
              <w:rPr>
                <w:rFonts w:ascii="Book Antiqua" w:eastAsia="Times New Roman" w:hAnsi="Book Antiqua" w:cs="Times New Roman"/>
                <w:bCs/>
                <w:color w:val="000000"/>
                <w:sz w:val="20"/>
                <w:szCs w:val="20"/>
                <w:lang w:eastAsia="sk-SK"/>
              </w:rPr>
            </w:pPr>
            <w:r w:rsidRPr="00057923">
              <w:rPr>
                <w:rFonts w:ascii="Book Antiqua" w:eastAsia="Times New Roman" w:hAnsi="Book Antiqua" w:cs="Times New Roman"/>
                <w:bCs/>
                <w:color w:val="000000"/>
                <w:sz w:val="20"/>
                <w:szCs w:val="20"/>
                <w:lang w:eastAsia="sk-SK"/>
              </w:rPr>
              <w:t>42,6%</w:t>
            </w:r>
          </w:p>
        </w:tc>
        <w:tc>
          <w:tcPr>
            <w:tcW w:w="1004" w:type="dxa"/>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40" w:lineRule="auto"/>
              <w:jc w:val="center"/>
              <w:rPr>
                <w:rFonts w:ascii="Book Antiqua" w:eastAsia="Times New Roman" w:hAnsi="Book Antiqua" w:cs="Times New Roman"/>
                <w:bCs/>
                <w:color w:val="000000"/>
                <w:sz w:val="20"/>
                <w:szCs w:val="20"/>
                <w:lang w:eastAsia="sk-SK"/>
              </w:rPr>
            </w:pPr>
            <w:r w:rsidRPr="00057923">
              <w:rPr>
                <w:rFonts w:ascii="Book Antiqua" w:eastAsia="Times New Roman" w:hAnsi="Book Antiqua" w:cs="Times New Roman"/>
                <w:bCs/>
                <w:color w:val="000000"/>
                <w:sz w:val="20"/>
                <w:szCs w:val="20"/>
                <w:lang w:eastAsia="sk-SK"/>
              </w:rPr>
              <w:t>-</w:t>
            </w:r>
          </w:p>
        </w:tc>
        <w:tc>
          <w:tcPr>
            <w:tcW w:w="993" w:type="dxa"/>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40" w:lineRule="auto"/>
              <w:jc w:val="center"/>
              <w:rPr>
                <w:rFonts w:ascii="Book Antiqua" w:eastAsia="Times New Roman" w:hAnsi="Book Antiqua" w:cs="Times New Roman"/>
                <w:bCs/>
                <w:color w:val="000000"/>
                <w:sz w:val="20"/>
                <w:szCs w:val="20"/>
                <w:lang w:eastAsia="sk-SK"/>
              </w:rPr>
            </w:pPr>
            <w:r w:rsidRPr="00057923">
              <w:rPr>
                <w:rFonts w:ascii="Book Antiqua" w:eastAsia="Times New Roman" w:hAnsi="Book Antiqua" w:cs="Times New Roman"/>
                <w:bCs/>
                <w:color w:val="000000"/>
                <w:sz w:val="20"/>
                <w:szCs w:val="20"/>
                <w:lang w:eastAsia="sk-SK"/>
              </w:rPr>
              <w:t>-</w:t>
            </w:r>
          </w:p>
        </w:tc>
        <w:tc>
          <w:tcPr>
            <w:tcW w:w="992" w:type="dxa"/>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40" w:lineRule="auto"/>
              <w:jc w:val="center"/>
              <w:rPr>
                <w:rFonts w:ascii="Book Antiqua" w:eastAsia="Times New Roman" w:hAnsi="Book Antiqua" w:cs="Times New Roman"/>
                <w:bCs/>
                <w:color w:val="000000"/>
                <w:sz w:val="20"/>
                <w:szCs w:val="20"/>
                <w:lang w:eastAsia="sk-SK"/>
              </w:rPr>
            </w:pPr>
            <w:r w:rsidRPr="00057923">
              <w:rPr>
                <w:rFonts w:ascii="Book Antiqua" w:eastAsia="Times New Roman" w:hAnsi="Book Antiqua" w:cs="Times New Roman"/>
                <w:bCs/>
                <w:color w:val="000000"/>
                <w:sz w:val="20"/>
                <w:szCs w:val="20"/>
                <w:lang w:eastAsia="sk-SK"/>
              </w:rPr>
              <w:t>-</w:t>
            </w:r>
          </w:p>
        </w:tc>
        <w:tc>
          <w:tcPr>
            <w:tcW w:w="992" w:type="dxa"/>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40" w:lineRule="auto"/>
              <w:jc w:val="center"/>
              <w:rPr>
                <w:rFonts w:ascii="Book Antiqua" w:eastAsia="Times New Roman" w:hAnsi="Book Antiqua" w:cs="Times New Roman"/>
                <w:bCs/>
                <w:color w:val="000000"/>
                <w:sz w:val="20"/>
                <w:szCs w:val="20"/>
                <w:lang w:eastAsia="sk-SK"/>
              </w:rPr>
            </w:pPr>
            <w:r w:rsidRPr="00057923">
              <w:rPr>
                <w:rFonts w:ascii="Book Antiqua" w:eastAsia="Times New Roman" w:hAnsi="Book Antiqua" w:cs="Times New Roman"/>
                <w:bCs/>
                <w:color w:val="000000"/>
                <w:sz w:val="20"/>
                <w:szCs w:val="20"/>
                <w:lang w:eastAsia="sk-SK"/>
              </w:rPr>
              <w:t>-</w:t>
            </w:r>
          </w:p>
        </w:tc>
        <w:tc>
          <w:tcPr>
            <w:tcW w:w="1134" w:type="dxa"/>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40" w:lineRule="auto"/>
              <w:jc w:val="center"/>
              <w:rPr>
                <w:rFonts w:ascii="Book Antiqua" w:eastAsia="Times New Roman" w:hAnsi="Book Antiqua" w:cs="Times New Roman"/>
                <w:bCs/>
                <w:color w:val="000000"/>
                <w:sz w:val="20"/>
                <w:szCs w:val="20"/>
                <w:lang w:eastAsia="sk-SK"/>
              </w:rPr>
            </w:pPr>
            <w:r w:rsidRPr="00057923">
              <w:rPr>
                <w:rFonts w:ascii="Book Antiqua" w:eastAsia="Times New Roman" w:hAnsi="Book Antiqua" w:cs="Times New Roman"/>
                <w:bCs/>
                <w:color w:val="000000"/>
                <w:sz w:val="20"/>
                <w:szCs w:val="20"/>
                <w:lang w:eastAsia="sk-SK"/>
              </w:rPr>
              <w:t>-</w:t>
            </w:r>
          </w:p>
        </w:tc>
        <w:tc>
          <w:tcPr>
            <w:tcW w:w="992" w:type="dxa"/>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40" w:lineRule="auto"/>
              <w:jc w:val="center"/>
              <w:rPr>
                <w:rFonts w:ascii="Book Antiqua" w:eastAsia="Times New Roman" w:hAnsi="Book Antiqua" w:cs="Times New Roman"/>
                <w:bCs/>
                <w:color w:val="000000"/>
                <w:sz w:val="20"/>
                <w:szCs w:val="20"/>
                <w:lang w:eastAsia="sk-SK"/>
              </w:rPr>
            </w:pPr>
            <w:r w:rsidRPr="00057923">
              <w:rPr>
                <w:rFonts w:ascii="Book Antiqua" w:eastAsia="Times New Roman" w:hAnsi="Book Antiqua" w:cs="Times New Roman"/>
                <w:bCs/>
                <w:color w:val="000000"/>
                <w:sz w:val="20"/>
                <w:szCs w:val="20"/>
                <w:lang w:eastAsia="sk-SK"/>
              </w:rPr>
              <w:t>-</w:t>
            </w:r>
          </w:p>
        </w:tc>
        <w:tc>
          <w:tcPr>
            <w:tcW w:w="965" w:type="dxa"/>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40" w:lineRule="auto"/>
              <w:jc w:val="center"/>
              <w:rPr>
                <w:rFonts w:ascii="Book Antiqua" w:eastAsia="Times New Roman" w:hAnsi="Book Antiqua" w:cs="Times New Roman"/>
                <w:bCs/>
                <w:color w:val="000000"/>
                <w:sz w:val="20"/>
                <w:szCs w:val="20"/>
                <w:lang w:eastAsia="sk-SK"/>
              </w:rPr>
            </w:pPr>
            <w:r w:rsidRPr="00057923">
              <w:rPr>
                <w:rFonts w:ascii="Book Antiqua" w:eastAsia="Times New Roman" w:hAnsi="Book Antiqua" w:cs="Times New Roman"/>
                <w:bCs/>
                <w:color w:val="000000"/>
                <w:sz w:val="20"/>
                <w:szCs w:val="20"/>
                <w:lang w:eastAsia="sk-SK"/>
              </w:rPr>
              <w:t>-</w:t>
            </w:r>
          </w:p>
        </w:tc>
      </w:tr>
    </w:tbl>
    <w:p w:rsidR="00057923" w:rsidRPr="00057923" w:rsidRDefault="00057923" w:rsidP="00057923">
      <w:pPr>
        <w:spacing w:after="0" w:line="276" w:lineRule="auto"/>
        <w:jc w:val="both"/>
        <w:rPr>
          <w:rFonts w:ascii="Book Antiqua" w:eastAsia="Times New Roman" w:hAnsi="Book Antiqua" w:cs="Times New Roman"/>
          <w:i/>
          <w:sz w:val="18"/>
          <w:szCs w:val="18"/>
        </w:rPr>
      </w:pPr>
      <w:r w:rsidRPr="00057923">
        <w:rPr>
          <w:rFonts w:ascii="Book Antiqua" w:eastAsia="Times New Roman" w:hAnsi="Book Antiqua" w:cs="Times New Roman"/>
          <w:i/>
          <w:sz w:val="20"/>
          <w:szCs w:val="20"/>
        </w:rPr>
        <w:t xml:space="preserve">Zdroj: MPSVR SR na základe </w:t>
      </w:r>
      <w:proofErr w:type="spellStart"/>
      <w:r w:rsidRPr="00057923">
        <w:rPr>
          <w:rFonts w:ascii="Book Antiqua" w:eastAsia="Times New Roman" w:hAnsi="Book Antiqua" w:cs="Times New Roman"/>
          <w:i/>
          <w:sz w:val="20"/>
          <w:szCs w:val="20"/>
        </w:rPr>
        <w:t>mikroúdajov</w:t>
      </w:r>
      <w:proofErr w:type="spellEnd"/>
      <w:r w:rsidRPr="00057923">
        <w:rPr>
          <w:rFonts w:ascii="Book Antiqua" w:eastAsia="Times New Roman" w:hAnsi="Book Antiqua" w:cs="Times New Roman"/>
          <w:i/>
          <w:sz w:val="20"/>
          <w:szCs w:val="20"/>
        </w:rPr>
        <w:t xml:space="preserve"> od Sociálnej poisťovne</w:t>
      </w: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1.2 Zhodnotenie praxe v krajinách EÚ a možnosť zavedenia plného a čiastočného dôchodku v dôchodkovom systéme SR</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Samotné medzinárodné porovnanie poukazuje na skutočnosť, že koncept plného a čiastočného dôchodku je rozšírený najmä v krajinách, ktorých priebežne financovaný pilier (alebo aspoň jednu schému v rámci neho) môžeme označiť ako tzv. </w:t>
      </w:r>
      <w:proofErr w:type="spellStart"/>
      <w:r w:rsidRPr="00057923">
        <w:rPr>
          <w:rFonts w:ascii="Book Antiqua" w:eastAsia="Times New Roman" w:hAnsi="Book Antiqua" w:cs="Times New Roman"/>
        </w:rPr>
        <w:t>Beveridgov</w:t>
      </w:r>
      <w:proofErr w:type="spellEnd"/>
      <w:r w:rsidRPr="00057923">
        <w:rPr>
          <w:rFonts w:ascii="Book Antiqua" w:eastAsia="Times New Roman" w:hAnsi="Book Antiqua" w:cs="Times New Roman"/>
        </w:rPr>
        <w:t xml:space="preserve"> model.</w:t>
      </w:r>
      <w:r w:rsidRPr="00057923">
        <w:rPr>
          <w:rFonts w:ascii="Book Antiqua" w:eastAsia="Times New Roman" w:hAnsi="Book Antiqua" w:cs="Times New Roman"/>
          <w:vertAlign w:val="superscript"/>
        </w:rPr>
        <w:footnoteReference w:id="6"/>
      </w:r>
      <w:r w:rsidRPr="00057923">
        <w:rPr>
          <w:rFonts w:ascii="Book Antiqua" w:eastAsia="Times New Roman" w:hAnsi="Book Antiqua" w:cs="Times New Roman"/>
        </w:rPr>
        <w:t xml:space="preserve">  Tieto členské krajiny sú charakteristické pomerne dlhým obdobím, ktoré je potrebné získať k nároku na plný dôchodok, napr. vo Veľkej Británii 35 rokov,  v Írsku počas celej pracovnej kariéry najmenej 48 týždenných príspevkov ročne, v Dánsku, Švédsku 40 rokov a v Holandsku 50 rokov (predmetné požadované obdobie na plný dôchodok je obdobím trvalého pobytu v týchto krajinách; v Dánsku a Švédsku sa vzťahuje  iba na sociálny, resp. garantovaný dôchodok). Na druhej strane však v nízkej miere vyžadujú minimálne obdobie pre tzv. čiastkový dôchodok. Napr. v Holandsku neexistuje minimálna podmienka trvalého pobytu, v Dánsku, Švédsku a Fínsku 3 roky trvalého pobytu (vzťahuje sa iba pre sociálny, resp. garantovaný resp. národný dôchodok), vo Veľkej Británii a Írsku ide o 10 rokov.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Opačným príkladom sú krajiny s priebežnými piliermi, ktoré možno označiť ako Bismarckov model</w:t>
      </w:r>
      <w:r w:rsidRPr="00057923">
        <w:rPr>
          <w:rFonts w:ascii="Book Antiqua" w:eastAsia="Times New Roman" w:hAnsi="Book Antiqua" w:cs="Times New Roman"/>
          <w:vertAlign w:val="superscript"/>
        </w:rPr>
        <w:footnoteReference w:id="7"/>
      </w:r>
      <w:r w:rsidRPr="00057923">
        <w:rPr>
          <w:rFonts w:ascii="Book Antiqua" w:eastAsia="Times New Roman" w:hAnsi="Book Antiqua" w:cs="Times New Roman"/>
        </w:rPr>
        <w:t xml:space="preserve">, v ktorých je koncept plného a čiastočného dôchodku skôr výnimočný. Klasickým predstaviteľom je Nemecko, kde je nevyhnutné získať najmenej 5 rokov dôchodkového poistenia. Ďalej sem môžeme zaradiť napr. Slovenskú republiku, Maďarsko 15 rokov, Poľsko 25/20 rokov a Lotyšsko 10 rokov atď. Výnimku pri týchto krajinách môžu tvoriť krajiny s konštrukciou plného a kráteného dôchodku napr. Belgicko 45 rokov, Francúzsko 41,5 roka a Litva 30 rokov (týka sa plného nároku na základný dôchodok, ktorý tvorí prvú zložku I. pilierového dôchodku), pričom v Belgicku neexistuje minimálna podmienka na krátený dôchodok a vo Francúzsku stačí získať štvrťroka. Ďalšia časť krajín má ustanovené minimálne obdobie pre nárok na plný dôchodok, avšak v konštrukcii nepristupuje ku kráteniu dôchodku s neúplnou kariérou, nakoľko sa to zväčša automaticky premieta cez kratšie získané obdobie </w:t>
      </w:r>
      <w:r w:rsidRPr="00057923">
        <w:rPr>
          <w:rFonts w:ascii="Book Antiqua" w:eastAsia="Times New Roman" w:hAnsi="Book Antiqua" w:cs="Times New Roman"/>
        </w:rPr>
        <w:lastRenderedPageBreak/>
        <w:t xml:space="preserve">napr. Bulharsko (38 rokov a 4 mesiace muži a 36 rokov a 4 mesiace ženy), Rakúsko (45 rokov), Taliansko (42 rokov a 10 mesiacov muži a 41 rokov a 10 mesiacov ženy), Španielsko (35 rokov a 6 mesiacov) a Grécko (40 rokov). Dôvodom pre takéto ustanovenie je napr. to, že osoba s plnou kariérou môže využiť nižší dôchodkový vek (napr. Bulharsko,  Slovinsko, Španielsko, Grécko, Taliansko) alebo ohraničenie maximálnej miery náhrady (napr. Rakúsko, Španielsko). Tu môžeme zaradiť aj Českú republiku, ktorá predlžuje obdobie na 35 rokov, avšak s ponechaním určitých možností nároku s nižším obdobím dôchodkového poistenia – napriek skutočnosti, že ich konštrukcia odlišne nepristupuje k výpočtu plného alebo kráteného dôchodku (viď Box 1).  </w:t>
      </w:r>
    </w:p>
    <w:p w:rsidR="00057923" w:rsidRPr="00057923" w:rsidRDefault="00057923" w:rsidP="00057923">
      <w:pPr>
        <w:spacing w:after="200" w:line="276" w:lineRule="auto"/>
        <w:ind w:firstLine="708"/>
        <w:jc w:val="both"/>
        <w:rPr>
          <w:rFonts w:ascii="Book Antiqua" w:eastAsia="Times New Roman" w:hAnsi="Book Antiqua" w:cs="Times New Roman"/>
          <w:b/>
        </w:rPr>
      </w:pPr>
      <w:r w:rsidRPr="00057923">
        <w:rPr>
          <w:rFonts w:ascii="Book Antiqua" w:eastAsia="Times New Roman" w:hAnsi="Book Antiqua" w:cs="Times New Roman"/>
        </w:rPr>
        <w:t xml:space="preserve">Samozrejme vyššie uvedené rozdelenie krajín treba brať s určitou rezervou, nakoľko krajiny kombinujú rôzne schémy dôchodkového systému, niekedy aj rôzne schémy v rámci jedného piliera, </w:t>
      </w:r>
      <w:r w:rsidRPr="00057923">
        <w:rPr>
          <w:rFonts w:ascii="Book Antiqua" w:eastAsia="Times New Roman" w:hAnsi="Book Antiqua" w:cs="Times New Roman"/>
          <w:b/>
        </w:rPr>
        <w:t xml:space="preserve">takže čistý </w:t>
      </w:r>
      <w:proofErr w:type="spellStart"/>
      <w:r w:rsidRPr="00057923">
        <w:rPr>
          <w:rFonts w:ascii="Book Antiqua" w:eastAsia="Times New Roman" w:hAnsi="Book Antiqua" w:cs="Times New Roman"/>
          <w:b/>
        </w:rPr>
        <w:t>Beveridgov</w:t>
      </w:r>
      <w:proofErr w:type="spellEnd"/>
      <w:r w:rsidRPr="00057923">
        <w:rPr>
          <w:rFonts w:ascii="Book Antiqua" w:eastAsia="Times New Roman" w:hAnsi="Book Antiqua" w:cs="Times New Roman"/>
          <w:b/>
        </w:rPr>
        <w:t xml:space="preserve"> alebo Bismarckov model, ktorý by existoval v nejakej krajine, sa vyskytuje zriedka. </w:t>
      </w:r>
      <w:r w:rsidRPr="00057923">
        <w:rPr>
          <w:rFonts w:ascii="Book Antiqua" w:eastAsia="Times New Roman" w:hAnsi="Book Antiqua" w:cs="Times New Roman"/>
        </w:rPr>
        <w:t xml:space="preserve">Ešte výraznejšie to komplikujú niektoré nové schémy ako virtuálne účty /NDC/ alebo zavádzanie minimálneho dôchodku, čo môžeme považovať za </w:t>
      </w:r>
      <w:proofErr w:type="spellStart"/>
      <w:r w:rsidRPr="00057923">
        <w:rPr>
          <w:rFonts w:ascii="Book Antiqua" w:eastAsia="Times New Roman" w:hAnsi="Book Antiqua" w:cs="Times New Roman"/>
        </w:rPr>
        <w:t>Beveridgov</w:t>
      </w:r>
      <w:proofErr w:type="spellEnd"/>
      <w:r w:rsidRPr="00057923">
        <w:rPr>
          <w:rFonts w:ascii="Book Antiqua" w:eastAsia="Times New Roman" w:hAnsi="Book Antiqua" w:cs="Times New Roman"/>
        </w:rPr>
        <w:t xml:space="preserve"> prvok ktorý sa niekedy aplikuje do Bismarckovho modelu, ale aj  zvyšovanie účasti v súkromných doplnkových schémach aj v krajinách, kde sa uplatňuje Bismarckov model.</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V prílohe v Tabuľke 2 je viditeľná aj snaha niektorých členských krajín o predlžovanie minimálneho obdobia ako aj obdobia potrebného k nároku na plný dôchodok (napr. vo Francúzsku predlženie k nároku na plný dôchodok zo 41,5 roka na 43 rokov do roku 2035, v Českej republike (viď Box 1), vo Veľkej Británii z 30 rokov na 35 rokov, v Bulharsku na 40 rokov pre mužov a 37 rokov pre ženy do roku 2020, v Španielsku na 37 rokov do roku 2027). V menšom rozsahu sa tieto snahy prejavujú aj v raste minimálneho obdobia napr. v Lotyšsku z 15 na 20 rokov od roku 2025 a vo Veľkej Británii s prechodom na nový štátny dôchodok z 1 roka na 10 rokov. Snahu o predĺženie obdobia na plný dôchodok možno vnímať ako určitú alternatívu k predlžovaniu dôchodkového veku a rastu „skutočného“ veku odchodu do dôchodku. </w:t>
      </w:r>
    </w:p>
    <w:p w:rsidR="00057923" w:rsidRPr="00057923" w:rsidRDefault="00057923" w:rsidP="00057923">
      <w:pPr>
        <w:spacing w:after="200" w:line="276" w:lineRule="auto"/>
        <w:jc w:val="both"/>
        <w:rPr>
          <w:rFonts w:ascii="Book Antiqua" w:eastAsia="Times New Roman" w:hAnsi="Book Antiqua" w:cs="Times New Roman"/>
        </w:rPr>
      </w:pPr>
      <w:r w:rsidRPr="00057923">
        <w:rPr>
          <w:rFonts w:eastAsia="Times New Roman" w:cs="Times New Roman"/>
          <w:noProof/>
        </w:rPr>
        <w:lastRenderedPageBreak/>
        <mc:AlternateContent>
          <mc:Choice Requires="wps">
            <w:drawing>
              <wp:inline distT="0" distB="0" distL="0" distR="0">
                <wp:extent cx="5780405" cy="3800475"/>
                <wp:effectExtent l="0" t="0" r="10795" b="28575"/>
                <wp:docPr id="20"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800475"/>
                        </a:xfrm>
                        <a:prstGeom prst="rect">
                          <a:avLst/>
                        </a:prstGeom>
                        <a:solidFill>
                          <a:sysClr val="window" lastClr="FFFFFF">
                            <a:lumMod val="75000"/>
                          </a:sysClr>
                        </a:solidFill>
                        <a:ln w="25400" cap="flat" cmpd="sng" algn="ctr">
                          <a:solidFill>
                            <a:srgbClr val="F79646"/>
                          </a:solidFill>
                          <a:prstDash val="solid"/>
                          <a:headEnd/>
                          <a:tailEnd/>
                        </a:ln>
                        <a:effectLst/>
                      </wps:spPr>
                      <wps:txbx>
                        <w:txbxContent>
                          <w:p w:rsidR="00057923" w:rsidRPr="00AB3F0E" w:rsidRDefault="00057923" w:rsidP="00057923">
                            <w:pPr>
                              <w:jc w:val="center"/>
                              <w:rPr>
                                <w:rFonts w:ascii="Book Antiqua" w:hAnsi="Book Antiqua"/>
                                <w:b/>
                                <w:sz w:val="20"/>
                                <w:szCs w:val="20"/>
                                <w:u w:val="single"/>
                              </w:rPr>
                            </w:pPr>
                            <w:r w:rsidRPr="00AB3F0E">
                              <w:rPr>
                                <w:rFonts w:ascii="Book Antiqua" w:hAnsi="Book Antiqua"/>
                                <w:b/>
                                <w:sz w:val="20"/>
                                <w:szCs w:val="20"/>
                                <w:u w:val="single"/>
                              </w:rPr>
                              <w:t>BOX</w:t>
                            </w:r>
                            <w:r>
                              <w:rPr>
                                <w:rFonts w:ascii="Book Antiqua" w:hAnsi="Book Antiqua"/>
                                <w:b/>
                                <w:sz w:val="20"/>
                                <w:szCs w:val="20"/>
                                <w:u w:val="single"/>
                              </w:rPr>
                              <w:t xml:space="preserve"> 1</w:t>
                            </w:r>
                            <w:r w:rsidRPr="00AB3F0E">
                              <w:rPr>
                                <w:rFonts w:ascii="Book Antiqua" w:hAnsi="Book Antiqua"/>
                                <w:b/>
                                <w:sz w:val="20"/>
                                <w:szCs w:val="20"/>
                                <w:u w:val="single"/>
                              </w:rPr>
                              <w:t>: Predlžovanie minimálneho obdobia dôchodkového poistenia v Českej republike</w:t>
                            </w:r>
                          </w:p>
                          <w:p w:rsidR="00057923" w:rsidRPr="00AB3F0E" w:rsidRDefault="00057923" w:rsidP="00057923">
                            <w:pPr>
                              <w:jc w:val="both"/>
                              <w:rPr>
                                <w:rFonts w:ascii="Book Antiqua" w:hAnsi="Book Antiqua"/>
                                <w:b/>
                                <w:color w:val="FFFF00"/>
                                <w:sz w:val="20"/>
                                <w:szCs w:val="20"/>
                              </w:rPr>
                            </w:pPr>
                            <w:r w:rsidRPr="00AB3F0E">
                              <w:rPr>
                                <w:rFonts w:ascii="Book Antiqua" w:hAnsi="Book Antiqua"/>
                                <w:sz w:val="20"/>
                                <w:szCs w:val="20"/>
                              </w:rPr>
                              <w:t xml:space="preserve">Od roku 2010 dochádza k predlžovaniu minimálneho obdobia dôchodkového poistenia </w:t>
                            </w:r>
                            <w:r>
                              <w:rPr>
                                <w:rFonts w:ascii="Book Antiqua" w:hAnsi="Book Antiqua"/>
                                <w:sz w:val="20"/>
                                <w:szCs w:val="20"/>
                              </w:rPr>
                              <w:t xml:space="preserve">potrebného pre </w:t>
                            </w:r>
                            <w:r w:rsidRPr="00AB3F0E">
                              <w:rPr>
                                <w:rFonts w:ascii="Book Antiqua" w:hAnsi="Book Antiqua"/>
                                <w:sz w:val="20"/>
                                <w:szCs w:val="20"/>
                              </w:rPr>
                              <w:t xml:space="preserve">nárok na starobný dôchodok s tým, že sa postupne pôvodná hranica </w:t>
                            </w:r>
                            <w:r w:rsidRPr="00AB3F0E">
                              <w:rPr>
                                <w:rFonts w:ascii="Book Antiqua" w:hAnsi="Book Antiqua"/>
                                <w:b/>
                                <w:sz w:val="20"/>
                                <w:szCs w:val="20"/>
                              </w:rPr>
                              <w:t>25 rokov predlžuje o 1 rok za každý rok až na cieľovú úroveň 35 rokov dôchodkového poistenia od roku 2019</w:t>
                            </w:r>
                            <w:r>
                              <w:rPr>
                                <w:rFonts w:ascii="Book Antiqua" w:hAnsi="Book Antiqua"/>
                                <w:b/>
                                <w:sz w:val="20"/>
                                <w:szCs w:val="20"/>
                              </w:rPr>
                              <w:t xml:space="preserve"> (v </w:t>
                            </w:r>
                            <w:r w:rsidRPr="00DD2674">
                              <w:rPr>
                                <w:rFonts w:ascii="Book Antiqua" w:hAnsi="Book Antiqua"/>
                                <w:b/>
                                <w:sz w:val="20"/>
                                <w:szCs w:val="20"/>
                              </w:rPr>
                              <w:t>roku 2018</w:t>
                            </w:r>
                            <w:r>
                              <w:rPr>
                                <w:rFonts w:ascii="Book Antiqua" w:hAnsi="Book Antiqua"/>
                                <w:b/>
                                <w:sz w:val="20"/>
                                <w:szCs w:val="20"/>
                              </w:rPr>
                              <w:t xml:space="preserve"> je toto obdobie ustanovené na 34 rokov)</w:t>
                            </w:r>
                            <w:r w:rsidRPr="00AB3F0E">
                              <w:rPr>
                                <w:rFonts w:ascii="Book Antiqua" w:hAnsi="Book Antiqua"/>
                                <w:b/>
                                <w:sz w:val="20"/>
                                <w:szCs w:val="20"/>
                              </w:rPr>
                              <w:t xml:space="preserve">. </w:t>
                            </w:r>
                          </w:p>
                          <w:p w:rsidR="00057923" w:rsidRDefault="00057923" w:rsidP="00057923">
                            <w:pPr>
                              <w:jc w:val="both"/>
                              <w:rPr>
                                <w:rFonts w:ascii="Book Antiqua" w:hAnsi="Book Antiqua"/>
                                <w:sz w:val="20"/>
                                <w:szCs w:val="20"/>
                              </w:rPr>
                            </w:pPr>
                            <w:r w:rsidRPr="00AB3F0E">
                              <w:rPr>
                                <w:rFonts w:ascii="Book Antiqua" w:hAnsi="Book Antiqua"/>
                                <w:sz w:val="20"/>
                                <w:szCs w:val="20"/>
                              </w:rPr>
                              <w:t xml:space="preserve">Popri tejto základnej podmienke existuje </w:t>
                            </w:r>
                            <w:r w:rsidRPr="00AB3F0E">
                              <w:rPr>
                                <w:rFonts w:ascii="Book Antiqua" w:hAnsi="Book Antiqua" w:cs="Arial"/>
                                <w:sz w:val="20"/>
                                <w:szCs w:val="20"/>
                                <w:lang w:eastAsia="sk-SK"/>
                              </w:rPr>
                              <w:t xml:space="preserve">možnosť odchodu do starobného dôchodku s </w:t>
                            </w:r>
                            <w:r w:rsidRPr="00AB3F0E">
                              <w:rPr>
                                <w:rFonts w:ascii="Book Antiqua" w:hAnsi="Book Antiqua" w:cs="Arial"/>
                                <w:b/>
                                <w:sz w:val="20"/>
                                <w:szCs w:val="20"/>
                                <w:lang w:eastAsia="sk-SK"/>
                              </w:rPr>
                              <w:t>najmenej 20 rokmi dôchodkového poistenia, ak osoba dosiahla o 5 rokov vyšší vek ako je zákonom stanovený dôchodkový vek</w:t>
                            </w:r>
                            <w:r w:rsidRPr="00AB3F0E">
                              <w:rPr>
                                <w:rFonts w:ascii="Book Antiqua" w:hAnsi="Book Antiqua" w:cs="Arial"/>
                                <w:color w:val="0000FF"/>
                                <w:sz w:val="20"/>
                                <w:szCs w:val="20"/>
                                <w:lang w:eastAsia="sk-SK"/>
                              </w:rPr>
                              <w:t xml:space="preserve">. </w:t>
                            </w:r>
                            <w:r w:rsidRPr="00AB3F0E">
                              <w:rPr>
                                <w:rFonts w:ascii="Book Antiqua" w:hAnsi="Book Antiqua" w:cs="Arial"/>
                                <w:sz w:val="20"/>
                                <w:szCs w:val="20"/>
                                <w:lang w:eastAsia="sk-SK"/>
                              </w:rPr>
                              <w:t>Zároveň existuje možnosť odchodu s 15 rokmi dôchodkového poistenia</w:t>
                            </w:r>
                            <w:r>
                              <w:rPr>
                                <w:rFonts w:ascii="Book Antiqua" w:hAnsi="Book Antiqua" w:cs="Arial"/>
                                <w:sz w:val="20"/>
                                <w:szCs w:val="20"/>
                                <w:lang w:eastAsia="sk-SK"/>
                              </w:rPr>
                              <w:t xml:space="preserve"> ak dosiahla osoba o 5 rokov vyšší vek ako je zákonom ustanovený dôchodkový vek</w:t>
                            </w:r>
                            <w:r w:rsidRPr="00AB3F0E">
                              <w:rPr>
                                <w:rFonts w:ascii="Book Antiqua" w:hAnsi="Book Antiqua" w:cs="Arial"/>
                                <w:sz w:val="20"/>
                                <w:szCs w:val="20"/>
                                <w:lang w:eastAsia="sk-SK"/>
                              </w:rPr>
                              <w:t>, s tým,</w:t>
                            </w:r>
                            <w:r>
                              <w:rPr>
                                <w:rFonts w:ascii="Book Antiqua" w:hAnsi="Book Antiqua" w:cs="Arial"/>
                                <w:sz w:val="20"/>
                                <w:szCs w:val="20"/>
                                <w:lang w:eastAsia="sk-SK"/>
                              </w:rPr>
                              <w:t xml:space="preserve"> že musela</w:t>
                            </w:r>
                            <w:r w:rsidRPr="00AB3F0E">
                              <w:rPr>
                                <w:rFonts w:ascii="Book Antiqua" w:hAnsi="Book Antiqua" w:cs="Arial"/>
                                <w:sz w:val="20"/>
                                <w:szCs w:val="20"/>
                                <w:lang w:eastAsia="sk-SK"/>
                              </w:rPr>
                              <w:t xml:space="preserve"> dosiahnuť obdobie</w:t>
                            </w:r>
                            <w:r>
                              <w:rPr>
                                <w:rFonts w:ascii="Book Antiqua" w:hAnsi="Book Antiqua" w:cs="Arial"/>
                                <w:sz w:val="20"/>
                                <w:szCs w:val="20"/>
                                <w:lang w:eastAsia="sk-SK"/>
                              </w:rPr>
                              <w:t xml:space="preserve"> dôchodkového poistenia</w:t>
                            </w:r>
                            <w:r w:rsidRPr="00AB3F0E">
                              <w:rPr>
                                <w:rFonts w:ascii="Book Antiqua" w:hAnsi="Book Antiqua" w:cs="Arial"/>
                                <w:sz w:val="20"/>
                                <w:szCs w:val="20"/>
                                <w:lang w:eastAsia="sk-SK"/>
                              </w:rPr>
                              <w:t xml:space="preserve"> bez započítania tzv. náhradných dôb. </w:t>
                            </w:r>
                            <w:r w:rsidRPr="00AB3F0E">
                              <w:rPr>
                                <w:rFonts w:ascii="Book Antiqua" w:hAnsi="Book Antiqua"/>
                                <w:sz w:val="20"/>
                                <w:szCs w:val="20"/>
                              </w:rPr>
                              <w:t xml:space="preserve"> </w:t>
                            </w:r>
                          </w:p>
                          <w:p w:rsidR="00057923" w:rsidRPr="00AB3F0E" w:rsidRDefault="00057923" w:rsidP="00057923">
                            <w:pPr>
                              <w:jc w:val="both"/>
                              <w:rPr>
                                <w:rFonts w:ascii="Book Antiqua" w:hAnsi="Book Antiqua"/>
                                <w:sz w:val="20"/>
                                <w:szCs w:val="20"/>
                              </w:rPr>
                            </w:pPr>
                            <w:r>
                              <w:rPr>
                                <w:rFonts w:ascii="Book Antiqua" w:hAnsi="Book Antiqua"/>
                                <w:sz w:val="20"/>
                                <w:szCs w:val="20"/>
                              </w:rPr>
                              <w:t xml:space="preserve">Napriek tomuto Česká republika nemá koncept plného a čiastočného/pomerného dôchodku a pre vyššie uvedené prípady sa používa univerzálna dôchodková formula bez akéhokoľvek krátenia (automaticky sa výsledný nárok kráti cez získané obdobie). </w:t>
                            </w:r>
                          </w:p>
                          <w:p w:rsidR="00057923" w:rsidRPr="00193092" w:rsidRDefault="00057923" w:rsidP="00057923">
                            <w:pPr>
                              <w:jc w:val="both"/>
                              <w:rPr>
                                <w:rFonts w:ascii="Book Antiqua" w:hAnsi="Book Antiqua"/>
                                <w:b/>
                                <w:i/>
                                <w:sz w:val="20"/>
                                <w:szCs w:val="20"/>
                              </w:rPr>
                            </w:pPr>
                            <w:r>
                              <w:rPr>
                                <w:rFonts w:ascii="Book Antiqua" w:hAnsi="Book Antiqua"/>
                                <w:b/>
                                <w:i/>
                                <w:sz w:val="20"/>
                                <w:szCs w:val="20"/>
                              </w:rPr>
                              <w:t>Podľa našich informácií</w:t>
                            </w:r>
                            <w:r w:rsidRPr="00193092">
                              <w:rPr>
                                <w:rFonts w:ascii="Book Antiqua" w:hAnsi="Book Antiqua"/>
                                <w:b/>
                                <w:i/>
                                <w:sz w:val="20"/>
                                <w:szCs w:val="20"/>
                              </w:rPr>
                              <w:t xml:space="preserve"> v súčasnosti prebieha diskusia medzi predstaviteľmi MOP a Ministerstva práce a sociálnych vecí Českej republiky, či Česká republika touto úpravou spĺňa požiadavky Dohovoru MOP o minimálnych normách v sociálnom zabezpečení. </w:t>
                            </w:r>
                          </w:p>
                          <w:p w:rsidR="00057923" w:rsidRPr="00AB3F0E" w:rsidRDefault="00057923" w:rsidP="00057923">
                            <w:pPr>
                              <w:jc w:val="both"/>
                              <w:rPr>
                                <w:rFonts w:ascii="Book Antiqua" w:hAnsi="Book Antiqua"/>
                              </w:rPr>
                            </w:pPr>
                          </w:p>
                          <w:p w:rsidR="00057923" w:rsidRPr="00AD6221" w:rsidRDefault="00057923" w:rsidP="00057923">
                            <w:pPr>
                              <w:pStyle w:val="Default"/>
                              <w:spacing w:line="276" w:lineRule="auto"/>
                              <w:jc w:val="both"/>
                              <w:rPr>
                                <w:i/>
                                <w:sz w:val="21"/>
                                <w:szCs w:val="21"/>
                              </w:rPr>
                            </w:pPr>
                          </w:p>
                          <w:p w:rsidR="00057923" w:rsidRPr="00DC0609" w:rsidRDefault="00057923" w:rsidP="00057923">
                            <w:pPr>
                              <w:rPr>
                                <w:b/>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ové pole 20" o:spid="_x0000_s1026" type="#_x0000_t202" style="width:455.15pt;height:2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s9agIAAK8EAAAOAAAAZHJzL2Uyb0RvYy54bWysVNtu2zAMfR+wfxD0vtjpnEuNOEXXLsOA&#10;7gK0+wBGli+YLGqSEjv7o37HfmyUnKbp9jYsDwYlUoeHh2RWV0On2F5a16Iu+HSScia1wLLVdcG/&#10;PWzeLDlzHnQJCrUs+EE6frV+/WrVm1xeYIOqlJYRiHZ5bwreeG/yJHGikR24CRqpyVmh7cDT0dZJ&#10;aaEn9E4lF2k6T3q0pbEopHN0ezs6+TriV5UU/ktVOemZKjhx8/Fr43cbvsl6BXltwTStONKAf2DR&#10;Qasp6QnqFjywnW3/gupaYdFh5ScCuwSrqhUy1kDVTNM/qrlvwMhYC4njzEkm9/9gxef9V8vasuAX&#10;JI+Gjnr0IAeP+1+PzKCSjO5JpN64nGLvDUX74R0O1OxYsDN3KL47pvGmAV3La2uxbySURHIaXiZn&#10;T0ccF0C2/ScsKRnsPEagobJdUJA0YYRObA6nBhEhJuhytlimWTrjTJDv7TJNs8Us5oD86bmxzn+Q&#10;2LFgFNzSBER42N85H+hA/hQSsjlUbblplYqHg7tRlu2BhoVmrMSeMwXO02XBN/EXsdSuI/Jj3GKW&#10;plEhAnbxfczxAldp1pPAs4wimQAa80qBJ7MzJLzTNWegatof4e0o6gtWtt6eaG0Wl/Nsfqz5RZJQ&#10;1S24ZqQVXSEM8tCM97qMtodWjTbRVTq4ZdySozihV6E9Y6P8sB3oWbjcYnmgrlkcN4g2nowG7U/O&#10;etoequLHDqwkvT5q6vzlNMvCusVDNluE4bLnnu25B7QgqIKTJKN54+OKBnoar2lCqjb27pnJca5o&#10;K6Lcxw0Oa3d+jlHP/zPr3wAAAP//AwBQSwMEFAAGAAgAAAAhAOe9+ULbAAAABQEAAA8AAABkcnMv&#10;ZG93bnJldi54bWxMj8FOwzAQRO9I/IO1SNyoU6pUbYhTIVAuXBCFA8etvY3T2usodtvw9xgucFlp&#10;NKOZt/Vm8k6caYx9YAXzWQGCWAfTc6fg4729W4GICdmgC0wKvijCprm+qrEy4cJvdN6mTuQSjhUq&#10;sCkNlZRRW/IYZ2Egzt4+jB5TlmMnzYiXXO6dvC+KpfTYc16wONCTJX3cnrwC3bZmen1e0sE6/VLi&#10;YjqUn1ap25vp8QFEoin9heEHP6NDk5l24cQmCqcgP5J+b/bW82IBYqegXK9KkE0t/9M33wAAAP//&#10;AwBQSwECLQAUAAYACAAAACEAtoM4kv4AAADhAQAAEwAAAAAAAAAAAAAAAAAAAAAAW0NvbnRlbnRf&#10;VHlwZXNdLnhtbFBLAQItABQABgAIAAAAIQA4/SH/1gAAAJQBAAALAAAAAAAAAAAAAAAAAC8BAABf&#10;cmVscy8ucmVsc1BLAQItABQABgAIAAAAIQByvbs9agIAAK8EAAAOAAAAAAAAAAAAAAAAAC4CAABk&#10;cnMvZTJvRG9jLnhtbFBLAQItABQABgAIAAAAIQDnvflC2wAAAAUBAAAPAAAAAAAAAAAAAAAAAMQE&#10;AABkcnMvZG93bnJldi54bWxQSwUGAAAAAAQABADzAAAAzAUAAAAA&#10;" fillcolor="#bfbfbf" strokecolor="#f79646" strokeweight="2pt">
                <v:textbox>
                  <w:txbxContent>
                    <w:p w:rsidR="00057923" w:rsidRPr="00AB3F0E" w:rsidRDefault="00057923" w:rsidP="00057923">
                      <w:pPr>
                        <w:jc w:val="center"/>
                        <w:rPr>
                          <w:rFonts w:ascii="Book Antiqua" w:hAnsi="Book Antiqua"/>
                          <w:b/>
                          <w:sz w:val="20"/>
                          <w:szCs w:val="20"/>
                          <w:u w:val="single"/>
                        </w:rPr>
                      </w:pPr>
                      <w:r w:rsidRPr="00AB3F0E">
                        <w:rPr>
                          <w:rFonts w:ascii="Book Antiqua" w:hAnsi="Book Antiqua"/>
                          <w:b/>
                          <w:sz w:val="20"/>
                          <w:szCs w:val="20"/>
                          <w:u w:val="single"/>
                        </w:rPr>
                        <w:t>BOX</w:t>
                      </w:r>
                      <w:r>
                        <w:rPr>
                          <w:rFonts w:ascii="Book Antiqua" w:hAnsi="Book Antiqua"/>
                          <w:b/>
                          <w:sz w:val="20"/>
                          <w:szCs w:val="20"/>
                          <w:u w:val="single"/>
                        </w:rPr>
                        <w:t xml:space="preserve"> 1</w:t>
                      </w:r>
                      <w:r w:rsidRPr="00AB3F0E">
                        <w:rPr>
                          <w:rFonts w:ascii="Book Antiqua" w:hAnsi="Book Antiqua"/>
                          <w:b/>
                          <w:sz w:val="20"/>
                          <w:szCs w:val="20"/>
                          <w:u w:val="single"/>
                        </w:rPr>
                        <w:t>: Predlžovanie minimálneho obdobia dôchodkového poistenia v Českej republike</w:t>
                      </w:r>
                    </w:p>
                    <w:p w:rsidR="00057923" w:rsidRPr="00AB3F0E" w:rsidRDefault="00057923" w:rsidP="00057923">
                      <w:pPr>
                        <w:jc w:val="both"/>
                        <w:rPr>
                          <w:rFonts w:ascii="Book Antiqua" w:hAnsi="Book Antiqua"/>
                          <w:b/>
                          <w:color w:val="FFFF00"/>
                          <w:sz w:val="20"/>
                          <w:szCs w:val="20"/>
                        </w:rPr>
                      </w:pPr>
                      <w:r w:rsidRPr="00AB3F0E">
                        <w:rPr>
                          <w:rFonts w:ascii="Book Antiqua" w:hAnsi="Book Antiqua"/>
                          <w:sz w:val="20"/>
                          <w:szCs w:val="20"/>
                        </w:rPr>
                        <w:t xml:space="preserve">Od roku 2010 dochádza k predlžovaniu minimálneho obdobia dôchodkového poistenia </w:t>
                      </w:r>
                      <w:r>
                        <w:rPr>
                          <w:rFonts w:ascii="Book Antiqua" w:hAnsi="Book Antiqua"/>
                          <w:sz w:val="20"/>
                          <w:szCs w:val="20"/>
                        </w:rPr>
                        <w:t xml:space="preserve">potrebného pre </w:t>
                      </w:r>
                      <w:r w:rsidRPr="00AB3F0E">
                        <w:rPr>
                          <w:rFonts w:ascii="Book Antiqua" w:hAnsi="Book Antiqua"/>
                          <w:sz w:val="20"/>
                          <w:szCs w:val="20"/>
                        </w:rPr>
                        <w:t xml:space="preserve">nárok na starobný dôchodok s tým, že sa postupne pôvodná hranica </w:t>
                      </w:r>
                      <w:r w:rsidRPr="00AB3F0E">
                        <w:rPr>
                          <w:rFonts w:ascii="Book Antiqua" w:hAnsi="Book Antiqua"/>
                          <w:b/>
                          <w:sz w:val="20"/>
                          <w:szCs w:val="20"/>
                        </w:rPr>
                        <w:t>25 rokov predlžuje o 1 rok za každý rok až na cieľovú úroveň 35 rokov dôchodkového poistenia od roku 2019</w:t>
                      </w:r>
                      <w:r>
                        <w:rPr>
                          <w:rFonts w:ascii="Book Antiqua" w:hAnsi="Book Antiqua"/>
                          <w:b/>
                          <w:sz w:val="20"/>
                          <w:szCs w:val="20"/>
                        </w:rPr>
                        <w:t xml:space="preserve"> (v </w:t>
                      </w:r>
                      <w:r w:rsidRPr="00DD2674">
                        <w:rPr>
                          <w:rFonts w:ascii="Book Antiqua" w:hAnsi="Book Antiqua"/>
                          <w:b/>
                          <w:sz w:val="20"/>
                          <w:szCs w:val="20"/>
                        </w:rPr>
                        <w:t>roku 2018</w:t>
                      </w:r>
                      <w:r>
                        <w:rPr>
                          <w:rFonts w:ascii="Book Antiqua" w:hAnsi="Book Antiqua"/>
                          <w:b/>
                          <w:sz w:val="20"/>
                          <w:szCs w:val="20"/>
                        </w:rPr>
                        <w:t xml:space="preserve"> je toto obdobie ustanovené na 34 rokov)</w:t>
                      </w:r>
                      <w:r w:rsidRPr="00AB3F0E">
                        <w:rPr>
                          <w:rFonts w:ascii="Book Antiqua" w:hAnsi="Book Antiqua"/>
                          <w:b/>
                          <w:sz w:val="20"/>
                          <w:szCs w:val="20"/>
                        </w:rPr>
                        <w:t xml:space="preserve">. </w:t>
                      </w:r>
                    </w:p>
                    <w:p w:rsidR="00057923" w:rsidRDefault="00057923" w:rsidP="00057923">
                      <w:pPr>
                        <w:jc w:val="both"/>
                        <w:rPr>
                          <w:rFonts w:ascii="Book Antiqua" w:hAnsi="Book Antiqua"/>
                          <w:sz w:val="20"/>
                          <w:szCs w:val="20"/>
                        </w:rPr>
                      </w:pPr>
                      <w:r w:rsidRPr="00AB3F0E">
                        <w:rPr>
                          <w:rFonts w:ascii="Book Antiqua" w:hAnsi="Book Antiqua"/>
                          <w:sz w:val="20"/>
                          <w:szCs w:val="20"/>
                        </w:rPr>
                        <w:t xml:space="preserve">Popri tejto základnej podmienke existuje </w:t>
                      </w:r>
                      <w:r w:rsidRPr="00AB3F0E">
                        <w:rPr>
                          <w:rFonts w:ascii="Book Antiqua" w:hAnsi="Book Antiqua" w:cs="Arial"/>
                          <w:sz w:val="20"/>
                          <w:szCs w:val="20"/>
                          <w:lang w:eastAsia="sk-SK"/>
                        </w:rPr>
                        <w:t xml:space="preserve">možnosť odchodu do starobného dôchodku s </w:t>
                      </w:r>
                      <w:r w:rsidRPr="00AB3F0E">
                        <w:rPr>
                          <w:rFonts w:ascii="Book Antiqua" w:hAnsi="Book Antiqua" w:cs="Arial"/>
                          <w:b/>
                          <w:sz w:val="20"/>
                          <w:szCs w:val="20"/>
                          <w:lang w:eastAsia="sk-SK"/>
                        </w:rPr>
                        <w:t>najmenej 20 rokmi dôchodkového poistenia, ak osoba dosiahla o 5 rokov vyšší vek ako je zákonom stanovený dôchodkový vek</w:t>
                      </w:r>
                      <w:r w:rsidRPr="00AB3F0E">
                        <w:rPr>
                          <w:rFonts w:ascii="Book Antiqua" w:hAnsi="Book Antiqua" w:cs="Arial"/>
                          <w:color w:val="0000FF"/>
                          <w:sz w:val="20"/>
                          <w:szCs w:val="20"/>
                          <w:lang w:eastAsia="sk-SK"/>
                        </w:rPr>
                        <w:t xml:space="preserve">. </w:t>
                      </w:r>
                      <w:r w:rsidRPr="00AB3F0E">
                        <w:rPr>
                          <w:rFonts w:ascii="Book Antiqua" w:hAnsi="Book Antiqua" w:cs="Arial"/>
                          <w:sz w:val="20"/>
                          <w:szCs w:val="20"/>
                          <w:lang w:eastAsia="sk-SK"/>
                        </w:rPr>
                        <w:t>Zároveň existuje možnosť odchodu s 15 rokmi dôchodkového poistenia</w:t>
                      </w:r>
                      <w:r>
                        <w:rPr>
                          <w:rFonts w:ascii="Book Antiqua" w:hAnsi="Book Antiqua" w:cs="Arial"/>
                          <w:sz w:val="20"/>
                          <w:szCs w:val="20"/>
                          <w:lang w:eastAsia="sk-SK"/>
                        </w:rPr>
                        <w:t xml:space="preserve"> ak dosiahla osoba o 5 rokov vyšší vek ako je zákonom ustanovený dôchodkový vek</w:t>
                      </w:r>
                      <w:r w:rsidRPr="00AB3F0E">
                        <w:rPr>
                          <w:rFonts w:ascii="Book Antiqua" w:hAnsi="Book Antiqua" w:cs="Arial"/>
                          <w:sz w:val="20"/>
                          <w:szCs w:val="20"/>
                          <w:lang w:eastAsia="sk-SK"/>
                        </w:rPr>
                        <w:t>, s tým,</w:t>
                      </w:r>
                      <w:r>
                        <w:rPr>
                          <w:rFonts w:ascii="Book Antiqua" w:hAnsi="Book Antiqua" w:cs="Arial"/>
                          <w:sz w:val="20"/>
                          <w:szCs w:val="20"/>
                          <w:lang w:eastAsia="sk-SK"/>
                        </w:rPr>
                        <w:t xml:space="preserve"> že musela</w:t>
                      </w:r>
                      <w:r w:rsidRPr="00AB3F0E">
                        <w:rPr>
                          <w:rFonts w:ascii="Book Antiqua" w:hAnsi="Book Antiqua" w:cs="Arial"/>
                          <w:sz w:val="20"/>
                          <w:szCs w:val="20"/>
                          <w:lang w:eastAsia="sk-SK"/>
                        </w:rPr>
                        <w:t xml:space="preserve"> dosiahnuť obdobie</w:t>
                      </w:r>
                      <w:r>
                        <w:rPr>
                          <w:rFonts w:ascii="Book Antiqua" w:hAnsi="Book Antiqua" w:cs="Arial"/>
                          <w:sz w:val="20"/>
                          <w:szCs w:val="20"/>
                          <w:lang w:eastAsia="sk-SK"/>
                        </w:rPr>
                        <w:t xml:space="preserve"> dôchodkového poistenia</w:t>
                      </w:r>
                      <w:r w:rsidRPr="00AB3F0E">
                        <w:rPr>
                          <w:rFonts w:ascii="Book Antiqua" w:hAnsi="Book Antiqua" w:cs="Arial"/>
                          <w:sz w:val="20"/>
                          <w:szCs w:val="20"/>
                          <w:lang w:eastAsia="sk-SK"/>
                        </w:rPr>
                        <w:t xml:space="preserve"> bez započítania tzv. náhradných dôb. </w:t>
                      </w:r>
                      <w:r w:rsidRPr="00AB3F0E">
                        <w:rPr>
                          <w:rFonts w:ascii="Book Antiqua" w:hAnsi="Book Antiqua"/>
                          <w:sz w:val="20"/>
                          <w:szCs w:val="20"/>
                        </w:rPr>
                        <w:t xml:space="preserve"> </w:t>
                      </w:r>
                    </w:p>
                    <w:p w:rsidR="00057923" w:rsidRPr="00AB3F0E" w:rsidRDefault="00057923" w:rsidP="00057923">
                      <w:pPr>
                        <w:jc w:val="both"/>
                        <w:rPr>
                          <w:rFonts w:ascii="Book Antiqua" w:hAnsi="Book Antiqua"/>
                          <w:sz w:val="20"/>
                          <w:szCs w:val="20"/>
                        </w:rPr>
                      </w:pPr>
                      <w:r>
                        <w:rPr>
                          <w:rFonts w:ascii="Book Antiqua" w:hAnsi="Book Antiqua"/>
                          <w:sz w:val="20"/>
                          <w:szCs w:val="20"/>
                        </w:rPr>
                        <w:t xml:space="preserve">Napriek tomuto Česká republika nemá koncept plného a čiastočného/pomerného dôchodku a pre vyššie uvedené prípady sa používa univerzálna dôchodková formula bez akéhokoľvek krátenia (automaticky sa výsledný nárok kráti cez získané obdobie). </w:t>
                      </w:r>
                    </w:p>
                    <w:p w:rsidR="00057923" w:rsidRPr="00193092" w:rsidRDefault="00057923" w:rsidP="00057923">
                      <w:pPr>
                        <w:jc w:val="both"/>
                        <w:rPr>
                          <w:rFonts w:ascii="Book Antiqua" w:hAnsi="Book Antiqua"/>
                          <w:b/>
                          <w:i/>
                          <w:sz w:val="20"/>
                          <w:szCs w:val="20"/>
                        </w:rPr>
                      </w:pPr>
                      <w:r>
                        <w:rPr>
                          <w:rFonts w:ascii="Book Antiqua" w:hAnsi="Book Antiqua"/>
                          <w:b/>
                          <w:i/>
                          <w:sz w:val="20"/>
                          <w:szCs w:val="20"/>
                        </w:rPr>
                        <w:t>Podľa našich informácií</w:t>
                      </w:r>
                      <w:r w:rsidRPr="00193092">
                        <w:rPr>
                          <w:rFonts w:ascii="Book Antiqua" w:hAnsi="Book Antiqua"/>
                          <w:b/>
                          <w:i/>
                          <w:sz w:val="20"/>
                          <w:szCs w:val="20"/>
                        </w:rPr>
                        <w:t xml:space="preserve"> v súčasnosti prebieha diskusia medzi predstaviteľmi MOP a Ministerstva práce a sociálnych vecí Českej republiky, či Česká republika touto úpravou spĺňa požiadavky Dohovoru MOP o minimálnych normách v sociálnom zabezpečení. </w:t>
                      </w:r>
                    </w:p>
                    <w:p w:rsidR="00057923" w:rsidRPr="00AB3F0E" w:rsidRDefault="00057923" w:rsidP="00057923">
                      <w:pPr>
                        <w:jc w:val="both"/>
                        <w:rPr>
                          <w:rFonts w:ascii="Book Antiqua" w:hAnsi="Book Antiqua"/>
                        </w:rPr>
                      </w:pPr>
                    </w:p>
                    <w:p w:rsidR="00057923" w:rsidRPr="00AD6221" w:rsidRDefault="00057923" w:rsidP="00057923">
                      <w:pPr>
                        <w:pStyle w:val="Default"/>
                        <w:spacing w:line="276" w:lineRule="auto"/>
                        <w:jc w:val="both"/>
                        <w:rPr>
                          <w:i/>
                          <w:sz w:val="21"/>
                          <w:szCs w:val="21"/>
                        </w:rPr>
                      </w:pPr>
                    </w:p>
                    <w:p w:rsidR="00057923" w:rsidRPr="00DC0609" w:rsidRDefault="00057923" w:rsidP="00057923">
                      <w:pPr>
                        <w:rPr>
                          <w:b/>
                        </w:rPr>
                      </w:pPr>
                    </w:p>
                  </w:txbxContent>
                </v:textbox>
                <w10:anchorlock/>
              </v:shape>
            </w:pict>
          </mc:Fallback>
        </mc:AlternateContent>
      </w: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rPr>
        <w:t xml:space="preserve">Plný a čiastočný dôchodok by bolo možné teoreticky zaviesť aj v dôchodkovom systéme SR: </w:t>
      </w:r>
    </w:p>
    <w:p w:rsidR="00057923" w:rsidRPr="00057923" w:rsidDel="00942F31" w:rsidRDefault="00057923" w:rsidP="00057923">
      <w:pPr>
        <w:spacing w:after="200" w:line="276" w:lineRule="auto"/>
        <w:ind w:firstLine="708"/>
        <w:jc w:val="both"/>
        <w:rPr>
          <w:rFonts w:ascii="Book Antiqua" w:eastAsia="Times New Roman" w:hAnsi="Book Antiqua" w:cs="Times New Roman"/>
          <w:b/>
          <w:i/>
        </w:rPr>
      </w:pPr>
      <w:r w:rsidRPr="00057923">
        <w:rPr>
          <w:rFonts w:ascii="Book Antiqua" w:eastAsia="Times New Roman" w:hAnsi="Book Antiqua" w:cs="Times New Roman"/>
          <w:b/>
        </w:rPr>
        <w:t xml:space="preserve">A) </w:t>
      </w:r>
      <w:proofErr w:type="spellStart"/>
      <w:r w:rsidRPr="00057923">
        <w:rPr>
          <w:rFonts w:ascii="Book Antiqua" w:eastAsia="Times New Roman" w:hAnsi="Book Antiqua" w:cs="Times New Roman"/>
          <w:b/>
        </w:rPr>
        <w:t>proforma</w:t>
      </w:r>
      <w:proofErr w:type="spellEnd"/>
      <w:r w:rsidRPr="00057923">
        <w:rPr>
          <w:rFonts w:ascii="Book Antiqua" w:eastAsia="Times New Roman" w:hAnsi="Book Antiqua" w:cs="Times New Roman"/>
          <w:b/>
        </w:rPr>
        <w:t xml:space="preserve"> (na prvý pohľad)</w:t>
      </w:r>
      <w:r w:rsidRPr="00057923">
        <w:rPr>
          <w:rFonts w:ascii="Book Antiqua" w:eastAsia="Times New Roman" w:hAnsi="Book Antiqua" w:cs="Times New Roman"/>
        </w:rPr>
        <w:t xml:space="preserve"> – napr. bolo by možné pri získaných 15 rokoch dôchodkového poistenia krátiť fiktívny plný dôchodok vypočítaný za 30 rokov dôchodkového poistenia (obdobne ako sa postupuje v súčasnosti pri výpočte dôchodkov s obdobím získaným v zahraničí). Čo by </w:t>
      </w:r>
      <w:proofErr w:type="spellStart"/>
      <w:r w:rsidRPr="00057923">
        <w:rPr>
          <w:rFonts w:ascii="Book Antiqua" w:eastAsia="Times New Roman" w:hAnsi="Book Antiqua" w:cs="Times New Roman"/>
        </w:rPr>
        <w:t>defacto</w:t>
      </w:r>
      <w:proofErr w:type="spellEnd"/>
      <w:r w:rsidRPr="00057923">
        <w:rPr>
          <w:rFonts w:ascii="Book Antiqua" w:eastAsia="Times New Roman" w:hAnsi="Book Antiqua" w:cs="Times New Roman"/>
        </w:rPr>
        <w:t xml:space="preserve"> neznamenalo žiadnu zmenu vo výške nároku v porovnaní so súčasným právnym stavom. Možno konštatovať, že čiastočný/pomerný a plný starobný dôchodok, </w:t>
      </w:r>
      <w:r w:rsidRPr="00057923">
        <w:rPr>
          <w:rFonts w:ascii="Book Antiqua" w:eastAsia="Times New Roman" w:hAnsi="Book Antiqua" w:cs="Times New Roman"/>
          <w:b/>
          <w:i/>
        </w:rPr>
        <w:t xml:space="preserve">nie je v takejto forme veľmi zmysluplné zavádzať do súčasnej slovenskej dôchodkovej konštrukcie.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b/>
        </w:rPr>
        <w:t>B) úplná zmena dôchodkovej konštrukcie</w:t>
      </w:r>
      <w:r w:rsidRPr="00057923">
        <w:rPr>
          <w:rFonts w:ascii="Book Antiqua" w:eastAsia="Times New Roman" w:hAnsi="Book Antiqua" w:cs="Times New Roman"/>
        </w:rPr>
        <w:t xml:space="preserve"> - jej primárnym cieľom nemusí byť zavedenie čiastočného a plného starobného dôchodku. Nazdávame sa, že skôr by mala prinajmenšom zachovávať štandardy pre nízkopríjmové osoby (bez ohľadu na počet získaných rokov dôchodkového poistenia), prípadne aby základná konštrukcia v sebe priamo obsahovala aj minimálny dôchodok. Nakoľko je zmena dôchodkovej konštrukcie pomerne obsiahlym a náročným zadaním – nebudeme sa tejto téme v predmetnom materiáli ďalej venovať.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b/>
        </w:rPr>
        <w:t>C) nerovnomerné krátenie v súčasnej konštrukcii -</w:t>
      </w:r>
      <w:r w:rsidRPr="00057923">
        <w:rPr>
          <w:rFonts w:ascii="Book Antiqua" w:eastAsia="Times New Roman" w:hAnsi="Book Antiqua" w:cs="Times New Roman"/>
        </w:rPr>
        <w:t xml:space="preserve"> osobné mzdové body by sa mohli započítavať rozdielne v závislosti od získanej kariéry. Napr.  osobe, ktorá získala 15 rokov poistenia by sa zo súčtu osobných mzdových bodov započítalo len 85%, za každý ďalší získaný rok by sa predmetné predlžovalo o 1%, t. j. pri 30 rokoch na 100% a pri 45 rokoch na 115%. </w:t>
      </w:r>
      <w:r w:rsidRPr="00057923">
        <w:rPr>
          <w:rFonts w:ascii="Book Antiqua" w:eastAsia="Times New Roman" w:hAnsi="Book Antiqua" w:cs="Times New Roman"/>
          <w:b/>
          <w:i/>
        </w:rPr>
        <w:t xml:space="preserve">Uvedený mechanizmus by v roku 2016 negatívne ovplyvnil 2 322 osôb. V porovnaní so súčasným právnym stavom by boli poškodené najmä osoby s nízkym obdobím dôchodkového poistenia a taktiež by sa v týchto prípadoch negovalo/korigovalo navyšovanie osobného </w:t>
      </w:r>
      <w:r w:rsidRPr="00057923">
        <w:rPr>
          <w:rFonts w:ascii="Book Antiqua" w:eastAsia="Times New Roman" w:hAnsi="Book Antiqua" w:cs="Times New Roman"/>
          <w:b/>
          <w:i/>
        </w:rPr>
        <w:lastRenderedPageBreak/>
        <w:t>mzdového bodu cez súčasnú formulu, čo im má prinášať vyššiu mieru náhrady.</w:t>
      </w:r>
      <w:r w:rsidRPr="00057923">
        <w:rPr>
          <w:rFonts w:ascii="Book Antiqua" w:eastAsia="Times New Roman" w:hAnsi="Book Antiqua" w:cs="Times New Roman"/>
        </w:rPr>
        <w:t xml:space="preserve"> </w:t>
      </w:r>
      <w:r w:rsidRPr="00057923">
        <w:rPr>
          <w:rFonts w:ascii="Book Antiqua" w:eastAsia="Times New Roman" w:hAnsi="Book Antiqua" w:cs="Times New Roman"/>
          <w:b/>
          <w:i/>
        </w:rPr>
        <w:t>Ak osoba s nízkym obdobím dosiahla POMB v rozmedzí od 1 do 1,25 nevzťahuje sa na ňu úprava POMB, t. j. dôjde u nej iba k negatívnemu vplyvu čiastočným započítavaním OMB a pre osobu s POMB vyšším ako 1,25 bude súčasný redukčný mechanizmus ešte znásobený iba čiastočným započítavaním OMB. Predmetný mechanizmus sa neuplatňuje pre výplatu dôchodkových dávok z II. piliera, čo by v prípade týchto osôb zvyšovalo výhodnosť účasti v II. pilieri.</w:t>
      </w:r>
      <w:r w:rsidRPr="00057923">
        <w:rPr>
          <w:rFonts w:ascii="Book Antiqua" w:eastAsia="Times New Roman" w:hAnsi="Book Antiqua" w:cs="Times New Roman"/>
          <w:i/>
        </w:rPr>
        <w:t xml:space="preserve"> </w:t>
      </w:r>
      <w:r w:rsidRPr="00057923">
        <w:rPr>
          <w:rFonts w:ascii="Book Antiqua" w:eastAsia="Times New Roman" w:hAnsi="Book Antiqua" w:cs="Times New Roman"/>
        </w:rPr>
        <w:t xml:space="preserve">Tieto osoby zároveň nemajú nárok na minimálny dôchodok, takže predmetná cesta </w:t>
      </w:r>
      <w:r w:rsidRPr="00057923">
        <w:rPr>
          <w:rFonts w:ascii="Book Antiqua" w:eastAsia="Times New Roman" w:hAnsi="Book Antiqua" w:cs="Times New Roman"/>
          <w:b/>
        </w:rPr>
        <w:t>sa javí ako ťažko priechodná.</w:t>
      </w:r>
      <w:r w:rsidRPr="00057923">
        <w:rPr>
          <w:rFonts w:ascii="Book Antiqua" w:eastAsia="Times New Roman" w:hAnsi="Book Antiqua" w:cs="Times New Roman"/>
        </w:rPr>
        <w:t xml:space="preserve">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Na ilustráciu môžeme uviesť, že v prípade, ak by sa uvedený mechanizmus popísaný v alternatíve C) uplatnil už v roku 2016, znamenalo by to priemerné zvýšenie novopriznaného starobného dôchodku v roku 2016 o približne 50 eur (najviac osôb približne 26 % by malo zvýšenie dôchodku o 70 až 90 eur – výsledky popisuje graf nižšie). Uvedené výsledky súvisia predovšetkým s distribúciou poistencov, ktorú ilustruje tabuľka č. 1. Solidarita (koeficient dopočtu a redukcie) v dôchodkovom systéme sa pri výpočtoch uplatňovala podľa súčasného právneho stavu. Takáto zmena v dôchodkovom systéme by predstavovala pomerne výraznú finančnú záťaž, nakoľko hneď v prvom roku by </w:t>
      </w:r>
      <w:r w:rsidRPr="00057923">
        <w:rPr>
          <w:rFonts w:ascii="Book Antiqua" w:eastAsia="Times New Roman" w:hAnsi="Book Antiqua" w:cs="Times New Roman"/>
          <w:b/>
        </w:rPr>
        <w:t>stúpli výdavky len na novopriznané starobné dôchodky o cca 12 mil. eur.</w:t>
      </w: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t>Graf 4:</w:t>
      </w:r>
      <w:r w:rsidRPr="00057923">
        <w:rPr>
          <w:rFonts w:ascii="Book Antiqua" w:eastAsia="Times New Roman" w:hAnsi="Book Antiqua" w:cs="Times New Roman"/>
        </w:rPr>
        <w:t xml:space="preserve"> Rozdelenie novopriznaných dôchodcov v roku 2016 podľa výšky rozdielu medzi dôchodkom, ktorý im bol priznaný a dôchodkom, ktorý by získali podľa úpravy popísanej v alternatíve C)</w:t>
      </w:r>
    </w:p>
    <w:p w:rsidR="00057923" w:rsidRPr="00057923" w:rsidRDefault="00057923" w:rsidP="00057923">
      <w:pPr>
        <w:spacing w:after="200" w:line="276" w:lineRule="auto"/>
        <w:jc w:val="both"/>
        <w:rPr>
          <w:rFonts w:ascii="Book Antiqua" w:eastAsia="Times New Roman" w:hAnsi="Book Antiqua" w:cs="Times New Roman"/>
          <w:i/>
          <w:sz w:val="20"/>
          <w:szCs w:val="20"/>
        </w:rPr>
      </w:pPr>
      <w:r w:rsidRPr="00057923">
        <w:rPr>
          <w:rFonts w:eastAsia="Times New Roman" w:cs="Times New Roman"/>
          <w:noProof/>
          <w:lang w:eastAsia="sk-SK"/>
        </w:rPr>
        <w:drawing>
          <wp:inline distT="0" distB="0" distL="0" distR="0">
            <wp:extent cx="5652770" cy="2916555"/>
            <wp:effectExtent l="38100" t="57150" r="43180" b="55245"/>
            <wp:docPr id="14" name="Graf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057923">
        <w:rPr>
          <w:rFonts w:ascii="Book Antiqua" w:eastAsia="Times New Roman" w:hAnsi="Book Antiqua" w:cs="Times New Roman"/>
        </w:rPr>
        <w:t xml:space="preserve"> </w:t>
      </w:r>
      <w:r w:rsidRPr="00057923">
        <w:rPr>
          <w:rFonts w:ascii="Book Antiqua" w:eastAsia="Times New Roman" w:hAnsi="Book Antiqua" w:cs="Times New Roman"/>
          <w:i/>
          <w:sz w:val="20"/>
          <w:szCs w:val="20"/>
        </w:rPr>
        <w:t>Zdroj: MPSVR SR, prepočty boli urobené na vzorke 24,4 tis. dôchodcov, čo zodpovedá približne 70 % novopriznaných starobných dôchodcov</w:t>
      </w:r>
    </w:p>
    <w:p w:rsidR="00057923" w:rsidRPr="00057923" w:rsidRDefault="00057923" w:rsidP="00057923">
      <w:pPr>
        <w:spacing w:after="200" w:line="276" w:lineRule="auto"/>
        <w:ind w:firstLine="708"/>
        <w:jc w:val="both"/>
        <w:rPr>
          <w:rFonts w:ascii="Book Antiqua" w:eastAsia="Times New Roman" w:hAnsi="Book Antiqua" w:cs="Times New Roman"/>
          <w:b/>
          <w:i/>
        </w:rPr>
      </w:pPr>
      <w:r w:rsidRPr="00057923">
        <w:rPr>
          <w:rFonts w:ascii="Book Antiqua" w:eastAsia="Times New Roman" w:hAnsi="Book Antiqua" w:cs="Times New Roman"/>
          <w:b/>
        </w:rPr>
        <w:t>D)</w:t>
      </w:r>
      <w:r w:rsidRPr="00057923">
        <w:rPr>
          <w:rFonts w:ascii="Book Antiqua" w:eastAsia="Times New Roman" w:hAnsi="Book Antiqua" w:cs="Times New Roman"/>
        </w:rPr>
        <w:t xml:space="preserve"> Minimálne obdobie dôchodkového poistenia na úrovni 15 rokov by ostalo zachované, ale dopočet priemerného osobného mzdového bodu by sa uplatňoval v plnej výške až od získania 30 rokov dôchodkového poistenia (na osoby s obdobím dôchodkového poistenia by sa uplatňoval postupný nábeh o jeden percentuálny bod od 5 % za 15 rokov poistenia po 20 % za 30 rokov poistenia). Uvedené by motivovalo získať dlhšie obdobie </w:t>
      </w:r>
      <w:r w:rsidRPr="00057923">
        <w:rPr>
          <w:rFonts w:ascii="Book Antiqua" w:eastAsia="Times New Roman" w:hAnsi="Book Antiqua" w:cs="Times New Roman"/>
        </w:rPr>
        <w:lastRenderedPageBreak/>
        <w:t xml:space="preserve">dôchodkového poistenia iba u osôb, ktoré majú nižšie POMB ako 1. </w:t>
      </w:r>
      <w:r w:rsidRPr="00057923">
        <w:rPr>
          <w:rFonts w:ascii="Book Antiqua" w:eastAsia="Times New Roman" w:hAnsi="Book Antiqua" w:cs="Times New Roman"/>
          <w:b/>
          <w:i/>
        </w:rPr>
        <w:t>Predmetný mechanizmus sa neuplatňuje pre výplatu dôchodkových dávok z II. piliera, čo by v prípade týchto osôb zvyšovalo výhodnosť účasti v II. pilieri.</w:t>
      </w:r>
      <w:r w:rsidRPr="00057923">
        <w:rPr>
          <w:rFonts w:ascii="Book Antiqua" w:eastAsia="Times New Roman" w:hAnsi="Book Antiqua" w:cs="Times New Roman"/>
          <w:i/>
        </w:rPr>
        <w:t xml:space="preserve">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Na základe údajov z tabuľky č. 1. by sa pri takomto nastavení dopočet priemerného osobného mzdového bodu neuplatňoval v plnej výške pre približne 2 300 osôb. Priemerné zníženie príjmu skupiny osôb s obdobím dôchodkového poistenia od 15 do 29 rokov sa predpokladá na úrovni približne 4 eur. Na základe údajov o novopriznaných starobných dôchodcoch by sa približne 66 % dôchodcov s obdobím dôchodkového poistenia od 15 do 29 rokov, znížil novopriznaný starobný dôchodok v rozmedzí od 0 do 5 eur, 23 % dôchodcov v rozmedzí od 5 do 10 eur a 10 % dôchodcov o 10 až 15 eur (uvedenú situáciu popisuje graf nižšie). </w:t>
      </w: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t>Graf 5:</w:t>
      </w:r>
      <w:r w:rsidRPr="00057923">
        <w:rPr>
          <w:rFonts w:ascii="Book Antiqua" w:eastAsia="Times New Roman" w:hAnsi="Book Antiqua" w:cs="Times New Roman"/>
        </w:rPr>
        <w:t xml:space="preserve"> Percentuálne rozdelenie novopriznaných dôchodcov v roku 2016 podľa výšky rozdielu medzi dôchodkom, ktorý im bol priznaný a dôchodkom, ktorý by získali podľa úpravy popísanej v alternatíve D)</w:t>
      </w:r>
    </w:p>
    <w:p w:rsidR="00057923" w:rsidRPr="00057923" w:rsidRDefault="00057923" w:rsidP="00057923">
      <w:pPr>
        <w:spacing w:after="0" w:line="240" w:lineRule="auto"/>
        <w:jc w:val="both"/>
        <w:rPr>
          <w:rFonts w:ascii="Book Antiqua" w:eastAsia="Times New Roman" w:hAnsi="Book Antiqua" w:cs="Times New Roman"/>
        </w:rPr>
      </w:pPr>
      <w:r w:rsidRPr="00057923">
        <w:rPr>
          <w:rFonts w:ascii="Book Antiqua" w:eastAsia="Times New Roman" w:hAnsi="Book Antiqua" w:cs="Times New Roman"/>
          <w:noProof/>
          <w:lang w:eastAsia="sk-SK"/>
        </w:rPr>
        <w:drawing>
          <wp:inline distT="0" distB="0" distL="0" distR="0">
            <wp:extent cx="5724525" cy="3086100"/>
            <wp:effectExtent l="0" t="0" r="9525"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086100"/>
                    </a:xfrm>
                    <a:prstGeom prst="rect">
                      <a:avLst/>
                    </a:prstGeom>
                    <a:noFill/>
                    <a:ln>
                      <a:noFill/>
                    </a:ln>
                  </pic:spPr>
                </pic:pic>
              </a:graphicData>
            </a:graphic>
          </wp:inline>
        </w:drawing>
      </w:r>
    </w:p>
    <w:p w:rsidR="00057923" w:rsidRPr="00057923" w:rsidRDefault="00057923" w:rsidP="00057923">
      <w:pPr>
        <w:spacing w:after="200" w:line="240" w:lineRule="auto"/>
        <w:jc w:val="both"/>
        <w:rPr>
          <w:rFonts w:ascii="Book Antiqua" w:eastAsia="Times New Roman" w:hAnsi="Book Antiqua" w:cs="Times New Roman"/>
        </w:rPr>
      </w:pPr>
      <w:r w:rsidRPr="00057923">
        <w:rPr>
          <w:rFonts w:ascii="Book Antiqua" w:eastAsia="Times New Roman" w:hAnsi="Book Antiqua" w:cs="Times New Roman"/>
          <w:i/>
          <w:sz w:val="20"/>
          <w:szCs w:val="20"/>
        </w:rPr>
        <w:t>Zdroj: MPSVR SR, prepočty boli urobené na vzorke 24,4 tis. dôchodcov, čo zodpovedá približne 70 % novopriznaných starobných dôchodcov</w:t>
      </w:r>
    </w:p>
    <w:p w:rsidR="00057923" w:rsidRPr="00057923" w:rsidRDefault="00057923" w:rsidP="00057923">
      <w:pPr>
        <w:spacing w:after="200" w:line="276" w:lineRule="auto"/>
        <w:ind w:firstLine="708"/>
        <w:jc w:val="both"/>
        <w:rPr>
          <w:rFonts w:ascii="Book Antiqua" w:eastAsia="Times New Roman" w:hAnsi="Book Antiqua" w:cs="Times New Roman"/>
          <w:b/>
        </w:rPr>
      </w:pPr>
      <w:r w:rsidRPr="00057923">
        <w:rPr>
          <w:rFonts w:ascii="Book Antiqua" w:eastAsia="Times New Roman" w:hAnsi="Book Antiqua" w:cs="Times New Roman"/>
        </w:rPr>
        <w:t xml:space="preserve">Ak by sme chceli ešte viac posilniť motiváciu získať aspoň 30 rokov dôchodkového poistenia, mohli by sme to dosiahnuť úplným zrušením dopočtu pre kategóriu osôb s obdobím dôchodkového poistenia od 15 do 29 rokov. Pri takomto nastavení by sa priemerný dôchodok týchto osôb znížil o približne 15 eur. </w:t>
      </w:r>
      <w:r w:rsidRPr="00057923">
        <w:rPr>
          <w:rFonts w:ascii="Book Antiqua" w:eastAsia="Times New Roman" w:hAnsi="Book Antiqua" w:cs="Times New Roman"/>
          <w:b/>
        </w:rPr>
        <w:t>Úspora na výdavkoch by predstavovala v štartovacom roku približne 200 tis. eur.</w:t>
      </w:r>
    </w:p>
    <w:p w:rsidR="00057923" w:rsidRPr="00057923" w:rsidRDefault="00057923" w:rsidP="00057923">
      <w:pPr>
        <w:spacing w:after="200" w:line="276" w:lineRule="auto"/>
        <w:jc w:val="both"/>
        <w:rPr>
          <w:rFonts w:ascii="Book Antiqua" w:eastAsia="Times New Roman" w:hAnsi="Book Antiqua" w:cs="Times New Roman"/>
          <w:b/>
        </w:rPr>
      </w:pPr>
    </w:p>
    <w:p w:rsidR="00057923" w:rsidRPr="00057923" w:rsidRDefault="00057923" w:rsidP="00057923">
      <w:pPr>
        <w:spacing w:after="200" w:line="276" w:lineRule="auto"/>
        <w:jc w:val="both"/>
        <w:rPr>
          <w:rFonts w:ascii="Book Antiqua" w:eastAsia="Times New Roman" w:hAnsi="Book Antiqua" w:cs="Times New Roman"/>
          <w:b/>
        </w:rPr>
      </w:pPr>
    </w:p>
    <w:p w:rsidR="00057923" w:rsidRPr="00057923" w:rsidRDefault="00057923" w:rsidP="00057923">
      <w:pPr>
        <w:spacing w:after="200" w:line="276" w:lineRule="auto"/>
        <w:jc w:val="both"/>
        <w:rPr>
          <w:rFonts w:ascii="Book Antiqua" w:eastAsia="Times New Roman" w:hAnsi="Book Antiqua" w:cs="Times New Roman"/>
          <w:b/>
        </w:rPr>
      </w:pP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lastRenderedPageBreak/>
        <w:t>Graf 6:</w:t>
      </w:r>
      <w:r w:rsidRPr="00057923">
        <w:rPr>
          <w:rFonts w:eastAsia="Times New Roman" w:cs="Times New Roman"/>
          <w:noProof/>
          <w:lang w:eastAsia="sk-SK"/>
        </w:rPr>
        <w:t xml:space="preserve"> </w:t>
      </w:r>
      <w:r w:rsidRPr="00057923">
        <w:rPr>
          <w:rFonts w:ascii="Book Antiqua" w:eastAsia="Times New Roman" w:hAnsi="Book Antiqua" w:cs="Times New Roman"/>
        </w:rPr>
        <w:t>Percentuálne rozdelenie novopriznaných dôchodcov s obdobím dôchodkového poistenia od 15 do 29 rokov v roku 2016 podľa výšky rozdielu medzi dôchodkom, ktorý im bol priznaný a dôchodkom, ktorý by získali ak by sa pri výpočte ich dôchodku neuplatňovala solidarita</w:t>
      </w:r>
    </w:p>
    <w:p w:rsidR="00057923" w:rsidRPr="00057923" w:rsidRDefault="00057923" w:rsidP="00057923">
      <w:pPr>
        <w:spacing w:after="0" w:line="276" w:lineRule="auto"/>
        <w:rPr>
          <w:rFonts w:ascii="Book Antiqua" w:eastAsia="Times New Roman" w:hAnsi="Book Antiqua" w:cs="Times New Roman"/>
        </w:rPr>
      </w:pPr>
      <w:r w:rsidRPr="00057923">
        <w:rPr>
          <w:rFonts w:eastAsia="Times New Roman" w:cs="Times New Roman"/>
          <w:noProof/>
          <w:lang w:eastAsia="sk-SK"/>
        </w:rPr>
        <w:drawing>
          <wp:inline distT="0" distB="0" distL="0" distR="0">
            <wp:extent cx="5676900" cy="3114675"/>
            <wp:effectExtent l="0" t="0" r="0" b="9525"/>
            <wp:docPr id="12" name="Obrázo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2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3114675"/>
                    </a:xfrm>
                    <a:prstGeom prst="rect">
                      <a:avLst/>
                    </a:prstGeom>
                    <a:noFill/>
                    <a:ln>
                      <a:noFill/>
                    </a:ln>
                  </pic:spPr>
                </pic:pic>
              </a:graphicData>
            </a:graphic>
          </wp:inline>
        </w:drawing>
      </w:r>
    </w:p>
    <w:p w:rsidR="00057923" w:rsidRPr="00057923" w:rsidRDefault="00057923" w:rsidP="00057923">
      <w:pPr>
        <w:spacing w:after="20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Zdroj: MPSVR SR</w:t>
      </w:r>
    </w:p>
    <w:p w:rsidR="00057923" w:rsidRPr="00057923" w:rsidRDefault="00057923" w:rsidP="00057923">
      <w:pPr>
        <w:spacing w:after="120" w:line="276" w:lineRule="auto"/>
        <w:jc w:val="both"/>
        <w:rPr>
          <w:rFonts w:ascii="Book Antiqua" w:eastAsia="Times New Roman" w:hAnsi="Book Antiqua" w:cs="Times New Roman"/>
          <w:b/>
          <w:i/>
        </w:rPr>
      </w:pPr>
      <w:r w:rsidRPr="00057923">
        <w:rPr>
          <w:rFonts w:ascii="Book Antiqua" w:eastAsia="Times New Roman" w:hAnsi="Book Antiqua" w:cs="Times New Roman"/>
          <w:b/>
        </w:rPr>
        <w:t xml:space="preserve">1.3 </w:t>
      </w:r>
      <w:r w:rsidRPr="00057923">
        <w:rPr>
          <w:rFonts w:ascii="Book Antiqua" w:eastAsia="Times New Roman" w:hAnsi="Book Antiqua" w:cs="Times New Roman"/>
          <w:b/>
          <w:i/>
        </w:rPr>
        <w:t>Záver ku kapitole 1</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Alternatívy k možnému predĺženiu potrebného obdobia dôchodkového poistenia možno zhrnúť tak, že </w:t>
      </w:r>
      <w:proofErr w:type="spellStart"/>
      <w:r w:rsidRPr="00057923">
        <w:rPr>
          <w:rFonts w:ascii="Book Antiqua" w:eastAsia="Times New Roman" w:hAnsi="Book Antiqua" w:cs="Times New Roman"/>
        </w:rPr>
        <w:t>proforma</w:t>
      </w:r>
      <w:proofErr w:type="spellEnd"/>
      <w:r w:rsidRPr="00057923">
        <w:rPr>
          <w:rFonts w:ascii="Book Antiqua" w:eastAsia="Times New Roman" w:hAnsi="Book Antiqua" w:cs="Times New Roman"/>
        </w:rPr>
        <w:t xml:space="preserve"> zavedenie na základe alternatívy A sa javí ako zbytočné. Naopak alternatívu C a D je veľmi ťažké „napasovať“ do súčasnej konštrukcie najmä ak sa snažíme rovnako hodnotiť vo vzťahu k „základnému“ dôchodku každý získaný rok dôchodkového poistenia a máme snahu, aby aj osoby s nižším získaným dôchodkovým poistením a nižšími zárobkami profitovali z určitej miery solidarity a mohli získať vyššiu ako len mieru náhrady vypočítanú na základe zásluh. </w:t>
      </w:r>
    </w:p>
    <w:p w:rsidR="00057923" w:rsidRPr="00057923" w:rsidRDefault="00057923" w:rsidP="00057923">
      <w:pPr>
        <w:spacing w:after="0" w:line="276" w:lineRule="auto"/>
        <w:ind w:firstLine="703"/>
        <w:jc w:val="both"/>
        <w:rPr>
          <w:rFonts w:ascii="Book Antiqua" w:eastAsia="Times New Roman" w:hAnsi="Book Antiqua" w:cs="Times New Roman"/>
        </w:rPr>
      </w:pPr>
      <w:r w:rsidRPr="00057923">
        <w:rPr>
          <w:rFonts w:ascii="Book Antiqua" w:eastAsia="Times New Roman" w:hAnsi="Book Antiqua" w:cs="Times New Roman"/>
        </w:rPr>
        <w:t>Pri alternatíve B si je nevyhnutné uvedomiť, že navrhnutie „novej“ konštrukcie je vážnym/zložitým analytickým a legislatívnym zadaním a pred jej prípadným prijatím je potrebné uskutočniť širokú odbornú, celospoločenskú a politickú diskusiu. Rovnako je vhodné sa vyvarovať chýb z minulosti, aby opäť nevznikla priepasť medzi tzv. staro a </w:t>
      </w:r>
      <w:proofErr w:type="spellStart"/>
      <w:r w:rsidRPr="00057923">
        <w:rPr>
          <w:rFonts w:ascii="Book Antiqua" w:eastAsia="Times New Roman" w:hAnsi="Book Antiqua" w:cs="Times New Roman"/>
        </w:rPr>
        <w:t>novodôchodcami</w:t>
      </w:r>
      <w:proofErr w:type="spellEnd"/>
      <w:r w:rsidRPr="00057923">
        <w:rPr>
          <w:rFonts w:ascii="Book Antiqua" w:eastAsia="Times New Roman" w:hAnsi="Book Antiqua" w:cs="Times New Roman"/>
        </w:rPr>
        <w:t xml:space="preserve"> a využiť dlhšie prechodné obdobie na jej nábeh.    </w:t>
      </w:r>
    </w:p>
    <w:p w:rsidR="00057923" w:rsidRPr="00057923" w:rsidRDefault="00057923" w:rsidP="00057923">
      <w:pPr>
        <w:spacing w:after="0" w:line="276" w:lineRule="auto"/>
        <w:ind w:firstLine="703"/>
        <w:jc w:val="both"/>
        <w:rPr>
          <w:rFonts w:ascii="Book Antiqua" w:eastAsia="Times New Roman" w:hAnsi="Book Antiqua" w:cs="Times New Roman"/>
        </w:rPr>
      </w:pPr>
    </w:p>
    <w:p w:rsidR="00057923" w:rsidRPr="00057923" w:rsidRDefault="00057923" w:rsidP="00057923">
      <w:pPr>
        <w:spacing w:after="0" w:line="276" w:lineRule="auto"/>
        <w:ind w:firstLine="703"/>
        <w:jc w:val="both"/>
        <w:rPr>
          <w:rFonts w:ascii="Book Antiqua" w:eastAsia="Times New Roman" w:hAnsi="Book Antiqua" w:cs="Times New Roman"/>
        </w:rPr>
      </w:pPr>
      <w:r w:rsidRPr="00057923">
        <w:rPr>
          <w:rFonts w:ascii="Book Antiqua" w:eastAsia="Times New Roman" w:hAnsi="Book Antiqua" w:cs="Times New Roman"/>
        </w:rPr>
        <w:t>Taktiež dávame do pozornosti, že už súčasná konštrukcia dostatočne zohľadňuje dosiahnuté obdobie dôchodkového poistenia, nakoľko ide o jeden z parametrov vstupujúcich do výpočtu starobného dôchodku. Napr. ak dve osoby majú rovnakú výšku POMB a prvá osoba dosiahla 15 rokov dôchodkového poistenia a druhá osoba 30 rokov dôchodkového poistenia – osoba s 15 rokmi má dôchodok 2-násobne nižší ako osoba s 30 rokmi (bez vplyvu valorizácie pri priznaní a efektu garancie minimálnej pevnej sumy valorizácie).</w:t>
      </w:r>
    </w:p>
    <w:p w:rsidR="00057923" w:rsidRPr="00057923" w:rsidRDefault="00057923" w:rsidP="00057923">
      <w:pPr>
        <w:spacing w:after="0" w:line="276" w:lineRule="auto"/>
        <w:ind w:firstLine="703"/>
        <w:jc w:val="both"/>
        <w:rPr>
          <w:rFonts w:ascii="Book Antiqua" w:eastAsia="Times New Roman" w:hAnsi="Book Antiqua" w:cs="Times New Roman"/>
        </w:rPr>
      </w:pPr>
      <w:r w:rsidRPr="00057923">
        <w:rPr>
          <w:rFonts w:ascii="Book Antiqua" w:eastAsia="Times New Roman" w:hAnsi="Book Antiqua" w:cs="Times New Roman"/>
        </w:rPr>
        <w:lastRenderedPageBreak/>
        <w:t xml:space="preserve">Nepreukázalo sa, že zavedenie pomerného starobného dôchodku, resp. predĺženie minimálneho obdobia poistenia na nárok na starobný dôchodok na 30 rokov, je potrebné a žiaduce. Krátke </w:t>
      </w:r>
      <w:proofErr w:type="spellStart"/>
      <w:r w:rsidRPr="00057923">
        <w:rPr>
          <w:rFonts w:ascii="Book Antiqua" w:eastAsia="Times New Roman" w:hAnsi="Book Antiqua" w:cs="Times New Roman"/>
        </w:rPr>
        <w:t>obodbie</w:t>
      </w:r>
      <w:proofErr w:type="spellEnd"/>
      <w:r w:rsidRPr="00057923">
        <w:rPr>
          <w:rFonts w:ascii="Book Antiqua" w:eastAsia="Times New Roman" w:hAnsi="Book Antiqua" w:cs="Times New Roman"/>
        </w:rPr>
        <w:t xml:space="preserve"> poistenia sa prejaví na dôchodku tak, že tento dôchodok je nižší v porovnaní s tým , v ktorom sa zohľadnilo dlhšie </w:t>
      </w:r>
      <w:proofErr w:type="spellStart"/>
      <w:r w:rsidRPr="00057923">
        <w:rPr>
          <w:rFonts w:ascii="Book Antiqua" w:eastAsia="Times New Roman" w:hAnsi="Book Antiqua" w:cs="Times New Roman"/>
        </w:rPr>
        <w:t>obodbie</w:t>
      </w:r>
      <w:proofErr w:type="spellEnd"/>
      <w:r w:rsidRPr="00057923">
        <w:rPr>
          <w:rFonts w:ascii="Book Antiqua" w:eastAsia="Times New Roman" w:hAnsi="Book Antiqua" w:cs="Times New Roman"/>
        </w:rPr>
        <w:t xml:space="preserve"> poistenia (za predpokladu, že ide o osobu s rovnakým POMB). Výsledky analýzy dokazujú, že poistenci majú dlhé obdobia dôchodkového poistenia a len marginálny počet poistencov má kratšie doby poistenia a teda analyzovaný problém vlastne neexistuje.</w:t>
      </w:r>
    </w:p>
    <w:p w:rsidR="00057923" w:rsidRPr="00057923" w:rsidRDefault="00057923" w:rsidP="00057923">
      <w:pPr>
        <w:spacing w:after="0" w:line="276" w:lineRule="auto"/>
        <w:ind w:firstLine="703"/>
        <w:jc w:val="both"/>
        <w:rPr>
          <w:rFonts w:ascii="Book Antiqua" w:eastAsia="Times New Roman" w:hAnsi="Book Antiqua" w:cs="Times New Roman"/>
        </w:rPr>
      </w:pPr>
    </w:p>
    <w:p w:rsidR="00057923" w:rsidRPr="00057923" w:rsidRDefault="00057923" w:rsidP="00057923">
      <w:pPr>
        <w:spacing w:after="0" w:line="276" w:lineRule="auto"/>
        <w:ind w:firstLine="703"/>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b/>
          <w:sz w:val="24"/>
          <w:szCs w:val="24"/>
        </w:rPr>
      </w:pPr>
      <w:r w:rsidRPr="00057923">
        <w:rPr>
          <w:rFonts w:ascii="Book Antiqua" w:eastAsia="Times New Roman" w:hAnsi="Book Antiqua" w:cs="Times New Roman"/>
          <w:b/>
          <w:sz w:val="24"/>
          <w:szCs w:val="24"/>
        </w:rPr>
        <w:t>2. Analýza možnosti stanovenia počtu rokov dôchodkového poistenia, nad ktoré by nebol ďalšou podmienkou pre nárok na plný starobný dôchodok fyzický vek.</w:t>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2.1 Súčasne platná legislatívna úprava a zhodnotenie praxe v EÚ</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V súčasnosti je nevyhnutné splniť nasledovné tri podmienky k vzniku nároku na predčasný starobný dôchodok: získanie najmenej 15 rokov dôchodkového poistenia, dovŕšenie veku najmenej 2 roky pred stanoveným zákonným dôchodkovým vekom a suma predčasného starobného dôchodku musí byť najmenej na úrovni 1,2 násobku životného minima. Zároveň platí, že k nároku na výplatu predčasného starobného dôchodku nesmie osobe vzniknúť povinné dôchodkové poistenie (zmeny od 1. júla 2018 - viď Box 3 v podkapitole 3.2). </w:t>
      </w:r>
    </w:p>
    <w:p w:rsidR="00057923" w:rsidRPr="00057923" w:rsidRDefault="00057923" w:rsidP="00057923">
      <w:pPr>
        <w:spacing w:after="200" w:line="276" w:lineRule="auto"/>
        <w:ind w:firstLine="705"/>
        <w:jc w:val="both"/>
        <w:rPr>
          <w:rFonts w:ascii="Book Antiqua" w:eastAsia="Times New Roman" w:hAnsi="Book Antiqua" w:cs="Times New Roman"/>
          <w:b/>
        </w:rPr>
      </w:pPr>
      <w:r w:rsidRPr="00057923">
        <w:rPr>
          <w:rFonts w:ascii="Book Antiqua" w:eastAsia="Times New Roman" w:hAnsi="Book Antiqua" w:cs="Times New Roman"/>
        </w:rPr>
        <w:t xml:space="preserve">Pri určovaní výslednej sumy predčasného starobného dôchodku zohľadňujeme dĺžku jeho poberania, t. j.  predčasný starobný dôchodok je doživotne krátený o 0,5% za každých začatých 30 dní, o ktoré ide osoba skôr do dôchodku. Hlavným motívom tohto prístupu je skutočnosť, že pri skoršom odchode do dôchodku pred dovŕšením dôchodkového veku sa predpokladá dlhšie čerpanie dôchodku, t. j. je logické, že sa predčasný starobný dôchodok v porovnaní s riadnym starobným dôchodkom kráti (a to doživotne). Uvedené má paralelu aj s predlžovaním dôchodkového veku, ktoré momentálne uskutočňujeme v závislosti od strednej dĺžky života. Dĺžka dožitia je zároveň základnou veličinou pre určovanie doživotných anuít z II. dôchodkového piliera (úmrtnostné tabuľky). Pri nákupe doživotnej anuity dochádza automaticky k znižovaniu dôchodku pri nižšom veku odchodu do dôchodku, a to prostredníctvom strednej dĺžky života v úmrtnostných tabuľkách. Napríklad do dôchodku by odchádzali  dve osoby s rovnakou sumou kapitálu (úspor) a v rovnakom okamihu, avšak osoba A dosiahla vek 61 rokov a osoba B vek 62 rokov. Keďže osoba A má nižší vek tak sa podľa úmrtnostných tabuliek v priemere dožije dlhšie a teda dostane aj nižšiu ponuku na doživotnú anuitu. Zníženie doživotnej anuity podľa nami dostupných úmrtnostných tabuliek (z roku 2016) by </w:t>
      </w:r>
      <w:proofErr w:type="spellStart"/>
      <w:r w:rsidRPr="00057923">
        <w:rPr>
          <w:rFonts w:ascii="Book Antiqua" w:eastAsia="Times New Roman" w:hAnsi="Book Antiqua" w:cs="Times New Roman"/>
        </w:rPr>
        <w:t>simulatívne</w:t>
      </w:r>
      <w:bookmarkStart w:id="3" w:name="II_pilier"/>
      <w:bookmarkEnd w:id="3"/>
      <w:proofErr w:type="spellEnd"/>
      <w:r w:rsidRPr="00057923">
        <w:rPr>
          <w:rFonts w:ascii="Book Antiqua" w:eastAsia="Times New Roman" w:hAnsi="Book Antiqua" w:cs="Times New Roman"/>
        </w:rPr>
        <w:t xml:space="preserve"> zodpovedalo cca 3,8 % ročne</w:t>
      </w:r>
      <w:r w:rsidRPr="00057923">
        <w:rPr>
          <w:rFonts w:ascii="Book Antiqua" w:eastAsia="Times New Roman" w:hAnsi="Book Antiqua" w:cs="Times New Roman"/>
          <w:vertAlign w:val="superscript"/>
        </w:rPr>
        <w:footnoteReference w:id="8"/>
      </w:r>
      <w:r w:rsidRPr="00057923">
        <w:rPr>
          <w:rFonts w:ascii="Book Antiqua" w:eastAsia="Times New Roman" w:hAnsi="Book Antiqua" w:cs="Times New Roman"/>
        </w:rPr>
        <w:t xml:space="preserve">.  Nevidíme dôvody na upustenie od týchto argumentov/princípov, takže z nášho pohľadu </w:t>
      </w:r>
      <w:r w:rsidRPr="00057923">
        <w:rPr>
          <w:rFonts w:ascii="Book Antiqua" w:eastAsia="Times New Roman" w:hAnsi="Book Antiqua" w:cs="Times New Roman"/>
          <w:b/>
        </w:rPr>
        <w:t xml:space="preserve">by malo naďalej dochádzať k určitej penalizácii za skorší odchod do dôchodku a koncept odchodu do dôchodku bez naviazania na fyzický vek nepovažujeme za správny. Taktiež ak by </w:t>
      </w:r>
      <w:r w:rsidRPr="00057923">
        <w:rPr>
          <w:rFonts w:ascii="Book Antiqua" w:eastAsia="Times New Roman" w:hAnsi="Book Antiqua" w:cs="Times New Roman"/>
          <w:b/>
        </w:rPr>
        <w:lastRenderedPageBreak/>
        <w:t xml:space="preserve">neexistovala penalizácia za skorší odchod do dôchodku je pravdepodobné, že väčšina osôb by odchádzala do dôchodku prostredníctvom predčasného starobného dôchodku. </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Väčšina členských krajín EÚ má legislatívnu úpravu, ktorá umožňuje skorší odchod do dôchodku (viď Príloha - Tabuľka 3). Výnimkou sú krajiny ako napr. Holandsko, Írsko, Veľká Británia, Poľsko, Portugalsko (týka sa I. piliera dôchodkového systému). Niektoré členské krajiny vyžadujú k umožneniu odchodu do dôchodku aj splnenie určitej doby prispievania bez dodatočnej penalizácie dôchodku napr. v Belgicku 40 rokov pri dosiahnutí veku 62 rokov, vo Francúzku 41,5 roka pri dosiahnutí ľubovoľného veku, v Luxembursku 40 rokov pri dosiahnutí ľubovoľného veku a v Maďarsku 40 rokov pri dosiahnutí ľubovoľného veku (týka sa len žien). Najpočetnejšiu skupinu však tvoria krajiny, kde možno zaradiť aj Slovensko, ktoré umožňujú odchod v presne stanovenom veku vo väzbe na dôchodkový vek aj s príslušným krátením dôchodkových nárokov. Tu môžeme spomenúť Rakúsko vo veku 62 rokov s ročnou penalizáciou 5,1% (týka sa </w:t>
      </w:r>
      <w:proofErr w:type="spellStart"/>
      <w:r w:rsidRPr="00057923">
        <w:rPr>
          <w:rFonts w:ascii="Book Antiqua" w:eastAsia="Times New Roman" w:hAnsi="Book Antiqua" w:cs="Times New Roman"/>
        </w:rPr>
        <w:t>corridor</w:t>
      </w:r>
      <w:proofErr w:type="spellEnd"/>
      <w:r w:rsidRPr="00057923">
        <w:rPr>
          <w:rFonts w:ascii="Book Antiqua" w:eastAsia="Times New Roman" w:hAnsi="Book Antiqua" w:cs="Times New Roman"/>
        </w:rPr>
        <w:t xml:space="preserve"> </w:t>
      </w:r>
      <w:proofErr w:type="spellStart"/>
      <w:r w:rsidRPr="00057923">
        <w:rPr>
          <w:rFonts w:ascii="Book Antiqua" w:eastAsia="Times New Roman" w:hAnsi="Book Antiqua" w:cs="Times New Roman"/>
        </w:rPr>
        <w:t>pension</w:t>
      </w:r>
      <w:proofErr w:type="spellEnd"/>
      <w:r w:rsidRPr="00057923">
        <w:rPr>
          <w:rFonts w:ascii="Book Antiqua" w:eastAsia="Times New Roman" w:hAnsi="Book Antiqua" w:cs="Times New Roman"/>
        </w:rPr>
        <w:t xml:space="preserve">), Českú republiku s vekom 60 rokov a 2 mesiacov (pre mužov) s ročnou penalizáciou v rozmedzí od 3,6 do 6% (za každých začatých 90 dní v prvom roku pred dovŕšením dôchodkového veku 0,9%; v druhom roku 1,2% a v treťom roku 1,5%), Nemecko vo veku 63 rokov s ročnou penalizáciou 3,6%, Estónsko vo veku 60 rokov a 3 mesiacov s ročnou penalizáciou 4,8%, Fínsko vo veku 63 rokov s ročnou penalizáciou 4,8% (týka sa národného dôchodku) a Lotyšsko vo veku 61 rokov (NDC schéma virtuálnych účtov - redukuje sa automaticky cez dĺžku dožitia). Špecifickým príkladom je Španielsko, kde je nevyhnutné získať najmenej 35 rokov poistenia, odchod možný vo veku 63 rokov a 4 mesiacov a s ročnou penalizáciou 6-8% (v závislosti od počtu rokov chýbajúcich do dovŕšenia dôchodkového veku a od dĺžky získaného obdobia dôchodkového poistenia) a Slovinsko pri získaní 40 rokov poistenia vo veku  60 rokov s ročnou penalizáciou 3,6%. Z uvedeného vyplýva, že penalizácia za skorší odchod do dôchodku na Slovensku (ročne 6,5 %, maximálne však 12,5% za dva roky) patrí medzi najvyššie z pomedzi členských krajín, v ktorých existuje možnosť skoršieho odchodu do dôchodku. </w:t>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2.2 Podrobnejší pohľad na osoby odchádzajúce do predčasného starobného dôchodku</w:t>
      </w:r>
    </w:p>
    <w:p w:rsidR="00057923" w:rsidRPr="00057923" w:rsidRDefault="00057923" w:rsidP="00057923">
      <w:pPr>
        <w:spacing w:after="200" w:line="276" w:lineRule="auto"/>
        <w:jc w:val="both"/>
        <w:rPr>
          <w:rFonts w:ascii="Book Antiqua" w:eastAsia="Times New Roman" w:hAnsi="Book Antiqua" w:cs="Times New Roman"/>
          <w:i/>
        </w:rPr>
      </w:pPr>
      <w:r w:rsidRPr="00057923">
        <w:rPr>
          <w:rFonts w:ascii="Book Antiqua" w:eastAsia="Times New Roman" w:hAnsi="Book Antiqua" w:cs="Times New Roman"/>
          <w:i/>
        </w:rPr>
        <w:t>V nasledujúcej podkapitole sa venujeme predovšetkým štatistickým údajom týkajúcim sa počtov novopriznaných a poberaných predčasných starobných dôchodkov. Okrem toho sa zameriavame aj na kľúčové faktory súvisiace s výpočtom predčasného starobného dôchodku a vzťahom s dávkou v nezamestnanosti.</w:t>
      </w:r>
    </w:p>
    <w:p w:rsidR="00057923" w:rsidRPr="00057923" w:rsidRDefault="00057923" w:rsidP="00057923">
      <w:pPr>
        <w:spacing w:after="200" w:line="276" w:lineRule="auto"/>
        <w:jc w:val="both"/>
        <w:rPr>
          <w:rFonts w:ascii="Book Antiqua" w:eastAsia="Times New Roman" w:hAnsi="Book Antiqua" w:cs="Times New Roman"/>
          <w:b/>
        </w:rPr>
      </w:pPr>
    </w:p>
    <w:p w:rsidR="00057923" w:rsidRPr="00057923" w:rsidRDefault="00057923" w:rsidP="00057923">
      <w:pPr>
        <w:spacing w:after="200" w:line="276" w:lineRule="auto"/>
        <w:jc w:val="both"/>
        <w:rPr>
          <w:rFonts w:ascii="Book Antiqua" w:eastAsia="Times New Roman" w:hAnsi="Book Antiqua" w:cs="Times New Roman"/>
          <w:b/>
        </w:rPr>
      </w:pPr>
    </w:p>
    <w:p w:rsidR="00057923" w:rsidRPr="00057923" w:rsidRDefault="00057923" w:rsidP="00057923">
      <w:pPr>
        <w:spacing w:after="200" w:line="276" w:lineRule="auto"/>
        <w:jc w:val="both"/>
        <w:rPr>
          <w:rFonts w:ascii="Book Antiqua" w:eastAsia="Times New Roman" w:hAnsi="Book Antiqua" w:cs="Times New Roman"/>
          <w:b/>
        </w:rPr>
      </w:pPr>
    </w:p>
    <w:p w:rsidR="00057923" w:rsidRPr="00057923" w:rsidRDefault="00057923" w:rsidP="00057923">
      <w:pPr>
        <w:spacing w:after="200" w:line="276" w:lineRule="auto"/>
        <w:jc w:val="both"/>
        <w:rPr>
          <w:rFonts w:ascii="Book Antiqua" w:eastAsia="Times New Roman" w:hAnsi="Book Antiqua" w:cs="Times New Roman"/>
          <w:b/>
        </w:rPr>
      </w:pPr>
    </w:p>
    <w:p w:rsidR="00057923" w:rsidRPr="00057923" w:rsidRDefault="00057923" w:rsidP="00057923">
      <w:pPr>
        <w:spacing w:after="200" w:line="276" w:lineRule="auto"/>
        <w:jc w:val="both"/>
        <w:rPr>
          <w:rFonts w:ascii="Book Antiqua" w:eastAsia="Times New Roman" w:hAnsi="Book Antiqua" w:cs="Times New Roman"/>
          <w:b/>
        </w:rPr>
      </w:pPr>
    </w:p>
    <w:p w:rsidR="00057923" w:rsidRPr="00057923" w:rsidRDefault="00057923" w:rsidP="00057923">
      <w:pPr>
        <w:spacing w:after="200" w:line="276" w:lineRule="auto"/>
        <w:jc w:val="both"/>
        <w:rPr>
          <w:rFonts w:ascii="Book Antiqua" w:eastAsia="Times New Roman" w:hAnsi="Book Antiqua" w:cs="Times New Roman"/>
          <w:b/>
        </w:rPr>
      </w:pP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t>Graf 7:</w:t>
      </w:r>
      <w:r w:rsidRPr="00057923">
        <w:rPr>
          <w:rFonts w:ascii="Book Antiqua" w:eastAsia="Times New Roman" w:hAnsi="Book Antiqua" w:cs="Times New Roman"/>
        </w:rPr>
        <w:t xml:space="preserve"> Vývoj počtu novopriznaných predčasných starobných dôchodkov v rokoch 2004 -2016</w:t>
      </w:r>
    </w:p>
    <w:p w:rsidR="00057923" w:rsidRPr="00057923" w:rsidRDefault="00057923" w:rsidP="00057923">
      <w:pPr>
        <w:spacing w:after="0" w:line="276" w:lineRule="auto"/>
        <w:jc w:val="both"/>
        <w:rPr>
          <w:rFonts w:ascii="Book Antiqua" w:eastAsia="Times New Roman" w:hAnsi="Book Antiqua" w:cs="Times New Roman"/>
          <w:i/>
        </w:rPr>
      </w:pPr>
      <w:r w:rsidRPr="00057923">
        <w:rPr>
          <w:rFonts w:ascii="Book Antiqua" w:eastAsia="Times New Roman" w:hAnsi="Book Antiqua" w:cs="Times New Roman"/>
          <w:noProof/>
          <w:lang w:eastAsia="sk-SK"/>
        </w:rPr>
        <w:lastRenderedPageBreak/>
        <w:drawing>
          <wp:inline distT="0" distB="0" distL="0" distR="0">
            <wp:extent cx="5757545" cy="2743200"/>
            <wp:effectExtent l="0" t="0" r="14605" b="0"/>
            <wp:docPr id="11" name="Graf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57923" w:rsidRPr="00057923" w:rsidRDefault="00057923" w:rsidP="00057923">
      <w:pPr>
        <w:spacing w:after="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Zdroj: Sociálna poisťovňa</w:t>
      </w:r>
    </w:p>
    <w:p w:rsidR="00057923" w:rsidRPr="00057923" w:rsidRDefault="00057923" w:rsidP="00057923">
      <w:pPr>
        <w:spacing w:after="0" w:line="276" w:lineRule="auto"/>
        <w:ind w:firstLine="705"/>
        <w:jc w:val="both"/>
        <w:rPr>
          <w:rFonts w:ascii="Book Antiqua" w:eastAsia="Times New Roman" w:hAnsi="Book Antiqua" w:cs="Times New Roman"/>
        </w:rPr>
      </w:pPr>
    </w:p>
    <w:p w:rsidR="00057923" w:rsidRPr="00057923" w:rsidRDefault="00057923" w:rsidP="00057923">
      <w:pPr>
        <w:spacing w:after="0" w:line="276" w:lineRule="auto"/>
        <w:ind w:firstLine="705"/>
        <w:jc w:val="both"/>
        <w:rPr>
          <w:rFonts w:ascii="Book Antiqua" w:eastAsia="Times New Roman" w:hAnsi="Book Antiqua" w:cs="Times New Roman"/>
          <w:b/>
        </w:rPr>
      </w:pPr>
      <w:r w:rsidRPr="00057923">
        <w:rPr>
          <w:rFonts w:ascii="Book Antiqua" w:eastAsia="Times New Roman" w:hAnsi="Book Antiqua" w:cs="Times New Roman"/>
        </w:rPr>
        <w:t xml:space="preserve">Z grafu 7 vyplýva, že do predčasného starobného dôchodku odchádzali v rokoch 2004 až 2016 vo väčšej miere muži ako ženy. V posledných rokoch sa počet novopriznaných predčasných starobných dôchodkov ustálil a môžeme konštatovať, </w:t>
      </w:r>
      <w:r w:rsidRPr="00057923">
        <w:rPr>
          <w:rFonts w:ascii="Book Antiqua" w:eastAsia="Times New Roman" w:hAnsi="Book Antiqua" w:cs="Times New Roman"/>
          <w:b/>
        </w:rPr>
        <w:t>ž</w:t>
      </w:r>
      <w:r w:rsidRPr="00057923">
        <w:rPr>
          <w:rFonts w:ascii="Book Antiqua" w:eastAsia="Times New Roman" w:hAnsi="Book Antiqua" w:cs="Times New Roman"/>
          <w:b/>
          <w:i/>
        </w:rPr>
        <w:t xml:space="preserve">e do predčasného starobného dôchodku odchádza dvojnásobne viac mužov ako žien.  </w:t>
      </w:r>
    </w:p>
    <w:p w:rsidR="00057923" w:rsidRPr="00057923" w:rsidRDefault="00057923" w:rsidP="00057923">
      <w:pPr>
        <w:spacing w:after="0" w:line="276" w:lineRule="auto"/>
        <w:ind w:firstLine="705"/>
        <w:jc w:val="both"/>
        <w:rPr>
          <w:rFonts w:ascii="Book Antiqua" w:eastAsia="Times New Roman" w:hAnsi="Book Antiqua" w:cs="Times New Roman"/>
        </w:rPr>
      </w:pPr>
    </w:p>
    <w:p w:rsidR="00057923" w:rsidRPr="00057923" w:rsidRDefault="00057923" w:rsidP="00057923">
      <w:pPr>
        <w:spacing w:after="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Dôležité je aj porovnanie počtu novopriznaných predčasných starobných dôchodkov v porovnaní so starobnými dôchodkami. V období, kedy boli </w:t>
      </w:r>
      <w:r w:rsidRPr="00057923">
        <w:rPr>
          <w:rFonts w:ascii="Book Antiqua" w:eastAsia="Times New Roman" w:hAnsi="Book Antiqua" w:cs="Times New Roman"/>
          <w:b/>
        </w:rPr>
        <w:t xml:space="preserve">podmienky poberania predčasného starobného dôchodku voľnejšie, boli počty novopriznaných predčasných starobných dôchodcov výrazne vyššie. </w:t>
      </w:r>
      <w:r w:rsidRPr="00057923">
        <w:rPr>
          <w:rFonts w:ascii="Book Antiqua" w:eastAsia="Times New Roman" w:hAnsi="Book Antiqua" w:cs="Times New Roman"/>
        </w:rPr>
        <w:t xml:space="preserve">V prípade  mužov v niektorých rokoch dokonca aj trojnásobne a štvornásobne vyššie ako počet novopriznaných starobných dôchodkov.  </w:t>
      </w: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t>Graf 8:</w:t>
      </w:r>
      <w:r w:rsidRPr="00057923">
        <w:rPr>
          <w:rFonts w:ascii="Book Antiqua" w:eastAsia="Times New Roman" w:hAnsi="Book Antiqua" w:cs="Times New Roman"/>
        </w:rPr>
        <w:t xml:space="preserve"> Porovnanie počtu novopriznaných starobných dôchodkov a predčasných starobných dôchodkov v rokoch 2004 -2016</w:t>
      </w:r>
    </w:p>
    <w:p w:rsidR="00057923" w:rsidRPr="00057923" w:rsidRDefault="00057923" w:rsidP="00057923">
      <w:pPr>
        <w:spacing w:after="0" w:line="276" w:lineRule="auto"/>
        <w:jc w:val="both"/>
        <w:rPr>
          <w:rFonts w:ascii="Book Antiqua" w:eastAsia="Times New Roman" w:hAnsi="Book Antiqua" w:cs="Times New Roman"/>
        </w:rPr>
      </w:pPr>
      <w:r w:rsidRPr="00057923">
        <w:rPr>
          <w:rFonts w:ascii="Book Antiqua" w:eastAsia="Times New Roman" w:hAnsi="Book Antiqua" w:cs="Times New Roman"/>
          <w:noProof/>
          <w:lang w:eastAsia="sk-SK"/>
        </w:rPr>
        <w:drawing>
          <wp:inline distT="0" distB="0" distL="0" distR="0">
            <wp:extent cx="2789555" cy="2026285"/>
            <wp:effectExtent l="0" t="0" r="0" b="0"/>
            <wp:docPr id="10" name="Graf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057923">
        <w:rPr>
          <w:rFonts w:ascii="Book Antiqua" w:eastAsia="Times New Roman" w:hAnsi="Book Antiqua" w:cs="Times New Roman"/>
          <w:noProof/>
          <w:lang w:eastAsia="sk-SK"/>
        </w:rPr>
        <w:drawing>
          <wp:inline distT="0" distB="0" distL="0" distR="0">
            <wp:extent cx="2809875" cy="2066925"/>
            <wp:effectExtent l="0" t="0" r="0" b="0"/>
            <wp:docPr id="9" name="Graf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7923" w:rsidRPr="00057923" w:rsidRDefault="00057923" w:rsidP="00057923">
      <w:pPr>
        <w:spacing w:after="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Zdroj: Sociálna poisťovňa</w:t>
      </w: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Rovnaký trend môžeme pozorovať aj pri pohľade na vyplácané predčasné starobné dôchodky. </w:t>
      </w:r>
      <w:r w:rsidRPr="00057923">
        <w:rPr>
          <w:rFonts w:ascii="Book Antiqua" w:eastAsia="Times New Roman" w:hAnsi="Book Antiqua" w:cs="Times New Roman"/>
          <w:b/>
        </w:rPr>
        <w:t xml:space="preserve">Výrazný rast počtu vyplácaných predčasných starobných dôchodkov bol </w:t>
      </w:r>
      <w:r w:rsidRPr="00057923">
        <w:rPr>
          <w:rFonts w:ascii="Book Antiqua" w:eastAsia="Times New Roman" w:hAnsi="Book Antiqua" w:cs="Times New Roman"/>
          <w:b/>
        </w:rPr>
        <w:lastRenderedPageBreak/>
        <w:t>v rokoch 2005 až 2007, kedy boli podmienky nároku na výplatu predčasného starobného dôchodku voľnejšie</w:t>
      </w:r>
      <w:r w:rsidRPr="00057923">
        <w:rPr>
          <w:rFonts w:ascii="Book Antiqua" w:eastAsia="Times New Roman" w:hAnsi="Book Antiqua" w:cs="Times New Roman"/>
        </w:rPr>
        <w:t xml:space="preserve"> (chýbala podmienka 2 rokov pred dovŕšením dôchodkového veku a navyše poberatelia predčasného starobného dôchodku mohli bez akýchkoľvek obmedzení vykonávať zárobkovú činnosť). Od 1. januára 2008, kedy sa sprísnili podmienky nároku na predčasný starobný dôchodok sa znižovali počty novopriznaných predčasných starobných dôchodcov a počet poberateľov sa postupne ustálil na úrovni približne 20 tis. poberateľov</w:t>
      </w:r>
      <w:r w:rsidRPr="00057923">
        <w:rPr>
          <w:rFonts w:ascii="Book Antiqua" w:eastAsia="Times New Roman" w:hAnsi="Book Antiqua" w:cs="Times New Roman"/>
          <w:vertAlign w:val="superscript"/>
        </w:rPr>
        <w:footnoteReference w:id="9"/>
      </w:r>
      <w:r w:rsidRPr="00057923">
        <w:rPr>
          <w:rFonts w:ascii="Book Antiqua" w:eastAsia="Times New Roman" w:hAnsi="Book Antiqua" w:cs="Times New Roman"/>
        </w:rPr>
        <w:t xml:space="preserve">.  </w:t>
      </w:r>
    </w:p>
    <w:p w:rsidR="00057923" w:rsidRPr="00057923" w:rsidRDefault="00057923" w:rsidP="00057923">
      <w:pPr>
        <w:spacing w:after="200" w:line="276" w:lineRule="auto"/>
        <w:jc w:val="both"/>
        <w:rPr>
          <w:rFonts w:ascii="Book Antiqua" w:eastAsia="Times New Roman" w:hAnsi="Book Antiqua" w:cs="Times New Roman"/>
          <w:b/>
        </w:rPr>
      </w:pP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t>Graf 9:</w:t>
      </w:r>
      <w:r w:rsidRPr="00057923">
        <w:rPr>
          <w:rFonts w:ascii="Book Antiqua" w:eastAsia="Times New Roman" w:hAnsi="Book Antiqua" w:cs="Times New Roman"/>
        </w:rPr>
        <w:t xml:space="preserve"> Vývoj počtu vyplácaných predčasných starobných dôchodcov v rokoch 2004 -2016</w:t>
      </w:r>
    </w:p>
    <w:p w:rsidR="00057923" w:rsidRPr="00057923" w:rsidRDefault="00057923" w:rsidP="00057923">
      <w:pPr>
        <w:spacing w:after="0" w:line="276" w:lineRule="auto"/>
        <w:jc w:val="both"/>
        <w:rPr>
          <w:rFonts w:ascii="Book Antiqua" w:eastAsia="Times New Roman" w:hAnsi="Book Antiqua" w:cs="Times New Roman"/>
          <w:i/>
        </w:rPr>
      </w:pPr>
      <w:r w:rsidRPr="00057923">
        <w:rPr>
          <w:rFonts w:ascii="Book Antiqua" w:eastAsia="Times New Roman" w:hAnsi="Book Antiqua" w:cs="Times New Roman"/>
          <w:noProof/>
          <w:lang w:eastAsia="sk-SK"/>
        </w:rPr>
        <w:drawing>
          <wp:inline distT="0" distB="0" distL="0" distR="0">
            <wp:extent cx="5758180" cy="2226310"/>
            <wp:effectExtent l="0" t="0" r="13970" b="2540"/>
            <wp:docPr id="8" name="Graf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7923" w:rsidRPr="00057923" w:rsidRDefault="00057923" w:rsidP="00057923">
      <w:pPr>
        <w:spacing w:after="0" w:line="240"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Zdroj: Sociálna poisťovňa</w:t>
      </w: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Graf 10 dokumentuje podstatný nárast výdavkov na PSD najmä v rokoch 2005 až 2008, pričom ako je vidieť </w:t>
      </w:r>
      <w:r w:rsidRPr="00057923">
        <w:rPr>
          <w:rFonts w:ascii="Book Antiqua" w:eastAsia="Times New Roman" w:hAnsi="Book Antiqua" w:cs="Times New Roman"/>
          <w:b/>
        </w:rPr>
        <w:t>výraznejšie medziročné zvýšenia boli v roku 2006 a 2008, keď výdavky medziročne vzrástli 2,6 resp. 1,4 násobne.</w:t>
      </w:r>
      <w:r w:rsidRPr="00057923">
        <w:rPr>
          <w:rFonts w:ascii="Book Antiqua" w:eastAsia="Times New Roman" w:hAnsi="Book Antiqua" w:cs="Times New Roman"/>
        </w:rPr>
        <w:t xml:space="preserve"> Motorom pre toto zvýšenie boli najmä </w:t>
      </w:r>
      <w:r w:rsidRPr="00057923">
        <w:rPr>
          <w:rFonts w:ascii="Book Antiqua" w:eastAsia="Times New Roman" w:hAnsi="Book Antiqua" w:cs="Times New Roman"/>
          <w:b/>
        </w:rPr>
        <w:t>sprísnenia uskutočnené v roku 2006 a 2008</w:t>
      </w:r>
      <w:r w:rsidRPr="00057923">
        <w:rPr>
          <w:rFonts w:ascii="Book Antiqua" w:eastAsia="Times New Roman" w:hAnsi="Book Antiqua" w:cs="Times New Roman"/>
        </w:rPr>
        <w:t xml:space="preserve"> (viď Box 2), ktoré sa prejavovali vo výdavkoch aj v nasledujúcich rokoch. </w:t>
      </w:r>
      <w:r w:rsidRPr="00057923">
        <w:rPr>
          <w:rFonts w:ascii="Book Antiqua" w:eastAsia="Times New Roman" w:hAnsi="Book Antiqua" w:cs="Times New Roman"/>
          <w:b/>
          <w:i/>
        </w:rPr>
        <w:t>Taktiež je viditeľný strop výdavkov, ktorý kulminuje  v rokoch 2009 a 2010, ktoré čiastočne poznačila aj finančná a hospodárska kríza.</w:t>
      </w:r>
      <w:r w:rsidRPr="00057923">
        <w:rPr>
          <w:rFonts w:ascii="Book Antiqua" w:eastAsia="Times New Roman" w:hAnsi="Book Antiqua" w:cs="Times New Roman"/>
        </w:rPr>
        <w:t xml:space="preserve"> Od roku 2011 postupne výdavky klesali a v rokoch 2014 až 2016 ich môžeme označiť ako stabilné. </w:t>
      </w:r>
    </w:p>
    <w:p w:rsidR="00057923" w:rsidRPr="00057923" w:rsidRDefault="00057923" w:rsidP="00057923">
      <w:pPr>
        <w:spacing w:after="0" w:line="276" w:lineRule="auto"/>
        <w:jc w:val="both"/>
        <w:rPr>
          <w:rFonts w:ascii="Book Antiqua" w:eastAsia="Times New Roman" w:hAnsi="Book Antiqua" w:cs="Times New Roman"/>
          <w:b/>
        </w:rPr>
      </w:pPr>
    </w:p>
    <w:p w:rsidR="00057923" w:rsidRPr="00057923" w:rsidRDefault="00057923" w:rsidP="00057923">
      <w:pPr>
        <w:spacing w:after="0" w:line="276" w:lineRule="auto"/>
        <w:jc w:val="both"/>
        <w:rPr>
          <w:rFonts w:ascii="Book Antiqua" w:eastAsia="Times New Roman" w:hAnsi="Book Antiqua" w:cs="Times New Roman"/>
          <w:b/>
        </w:rPr>
      </w:pPr>
    </w:p>
    <w:p w:rsidR="00057923" w:rsidRPr="00057923" w:rsidRDefault="00057923" w:rsidP="00057923">
      <w:pPr>
        <w:spacing w:after="0" w:line="276" w:lineRule="auto"/>
        <w:jc w:val="both"/>
        <w:rPr>
          <w:rFonts w:ascii="Book Antiqua" w:eastAsia="Times New Roman" w:hAnsi="Book Antiqua" w:cs="Times New Roman"/>
          <w:b/>
        </w:rPr>
      </w:pPr>
    </w:p>
    <w:p w:rsidR="00057923" w:rsidRPr="00057923" w:rsidRDefault="00057923" w:rsidP="00057923">
      <w:pPr>
        <w:spacing w:after="0" w:line="276" w:lineRule="auto"/>
        <w:jc w:val="both"/>
        <w:rPr>
          <w:rFonts w:ascii="Book Antiqua" w:eastAsia="Times New Roman" w:hAnsi="Book Antiqua" w:cs="Times New Roman"/>
          <w:b/>
        </w:rPr>
      </w:pPr>
    </w:p>
    <w:p w:rsidR="00057923" w:rsidRPr="00057923" w:rsidRDefault="00057923" w:rsidP="00057923">
      <w:pPr>
        <w:spacing w:after="0" w:line="276" w:lineRule="auto"/>
        <w:jc w:val="both"/>
        <w:rPr>
          <w:rFonts w:ascii="Book Antiqua" w:eastAsia="Times New Roman" w:hAnsi="Book Antiqua" w:cs="Times New Roman"/>
          <w:b/>
        </w:rPr>
      </w:pPr>
    </w:p>
    <w:p w:rsidR="00057923" w:rsidRPr="00057923" w:rsidRDefault="00057923" w:rsidP="00057923">
      <w:pPr>
        <w:spacing w:after="0" w:line="276" w:lineRule="auto"/>
        <w:jc w:val="both"/>
        <w:rPr>
          <w:rFonts w:ascii="Book Antiqua" w:eastAsia="Times New Roman" w:hAnsi="Book Antiqua" w:cs="Times New Roman"/>
          <w:b/>
        </w:rPr>
      </w:pPr>
    </w:p>
    <w:p w:rsidR="00057923" w:rsidRPr="00057923" w:rsidRDefault="00057923" w:rsidP="00057923">
      <w:pPr>
        <w:spacing w:after="0" w:line="276" w:lineRule="auto"/>
        <w:jc w:val="both"/>
        <w:rPr>
          <w:rFonts w:ascii="Book Antiqua" w:eastAsia="Times New Roman" w:hAnsi="Book Antiqua" w:cs="Times New Roman"/>
          <w:b/>
        </w:rPr>
      </w:pPr>
    </w:p>
    <w:p w:rsidR="00057923" w:rsidRPr="00057923" w:rsidRDefault="00057923" w:rsidP="00057923">
      <w:pPr>
        <w:spacing w:after="0" w:line="276" w:lineRule="auto"/>
        <w:jc w:val="both"/>
        <w:rPr>
          <w:rFonts w:ascii="Book Antiqua" w:eastAsia="Times New Roman" w:hAnsi="Book Antiqua" w:cs="Times New Roman"/>
          <w:b/>
        </w:rPr>
      </w:pPr>
    </w:p>
    <w:p w:rsidR="00057923" w:rsidRPr="00057923" w:rsidRDefault="00057923" w:rsidP="00057923">
      <w:pPr>
        <w:spacing w:after="0" w:line="276" w:lineRule="auto"/>
        <w:jc w:val="both"/>
        <w:rPr>
          <w:rFonts w:ascii="Book Antiqua" w:eastAsia="Times New Roman" w:hAnsi="Book Antiqua" w:cs="Times New Roman"/>
          <w:b/>
        </w:rPr>
      </w:pPr>
    </w:p>
    <w:p w:rsidR="00057923" w:rsidRPr="00057923" w:rsidRDefault="00057923" w:rsidP="00057923">
      <w:pPr>
        <w:spacing w:after="0" w:line="276" w:lineRule="auto"/>
        <w:jc w:val="both"/>
        <w:rPr>
          <w:rFonts w:ascii="Book Antiqua" w:eastAsia="Times New Roman" w:hAnsi="Book Antiqua" w:cs="Times New Roman"/>
        </w:rPr>
      </w:pPr>
      <w:r w:rsidRPr="00057923">
        <w:rPr>
          <w:rFonts w:ascii="Book Antiqua" w:eastAsia="Times New Roman" w:hAnsi="Book Antiqua" w:cs="Times New Roman"/>
          <w:b/>
        </w:rPr>
        <w:t>Graf 10:</w:t>
      </w:r>
      <w:r w:rsidRPr="00057923">
        <w:rPr>
          <w:rFonts w:ascii="Book Antiqua" w:eastAsia="Times New Roman" w:hAnsi="Book Antiqua" w:cs="Times New Roman"/>
        </w:rPr>
        <w:t xml:space="preserve"> Výdavky na predčasné starobné dôchodky v rokoch 2004 -2016</w:t>
      </w: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noProof/>
          <w:lang w:eastAsia="sk-SK"/>
        </w:rPr>
        <w:lastRenderedPageBreak/>
        <w:drawing>
          <wp:inline distT="0" distB="0" distL="0" distR="0">
            <wp:extent cx="5768340" cy="2521585"/>
            <wp:effectExtent l="0" t="0" r="3810" b="12065"/>
            <wp:docPr id="7"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057923">
        <w:rPr>
          <w:rFonts w:ascii="Book Antiqua" w:eastAsia="Times New Roman" w:hAnsi="Book Antiqua" w:cs="Times New Roman"/>
          <w:i/>
          <w:sz w:val="20"/>
          <w:szCs w:val="20"/>
        </w:rPr>
        <w:t>Zdroj: Sociálna poisťovňa</w:t>
      </w:r>
    </w:p>
    <w:p w:rsidR="00057923" w:rsidRPr="00057923" w:rsidDel="003D21A8" w:rsidRDefault="00057923" w:rsidP="00057923">
      <w:pPr>
        <w:spacing w:after="200" w:line="276" w:lineRule="auto"/>
        <w:jc w:val="both"/>
        <w:rPr>
          <w:rFonts w:ascii="Book Antiqua" w:eastAsia="Times New Roman" w:hAnsi="Book Antiqua" w:cs="Times New Roman"/>
        </w:rPr>
      </w:pPr>
      <w:r w:rsidRPr="00057923" w:rsidDel="003D21A8">
        <w:rPr>
          <w:rFonts w:ascii="Book Antiqua" w:eastAsia="Times New Roman" w:hAnsi="Book Antiqua" w:cs="Times New Roman"/>
          <w:b/>
          <w:i/>
        </w:rPr>
        <w:t xml:space="preserve">Ako úspešné boli zmeny v oblasti sprísňovania podmienok nároku pri predčasných starobných dôchodkoch ihneď po spustení implementácie? V tejto súvislosti je vhodné sa zamerať na predpoklady </w:t>
      </w:r>
      <w:proofErr w:type="spellStart"/>
      <w:r w:rsidRPr="00057923" w:rsidDel="003D21A8">
        <w:rPr>
          <w:rFonts w:ascii="Book Antiqua" w:eastAsia="Times New Roman" w:hAnsi="Book Antiqua" w:cs="Times New Roman"/>
          <w:b/>
          <w:i/>
        </w:rPr>
        <w:t>vs</w:t>
      </w:r>
      <w:proofErr w:type="spellEnd"/>
      <w:r w:rsidRPr="00057923" w:rsidDel="003D21A8">
        <w:rPr>
          <w:rFonts w:ascii="Book Antiqua" w:eastAsia="Times New Roman" w:hAnsi="Book Antiqua" w:cs="Times New Roman"/>
          <w:b/>
          <w:i/>
        </w:rPr>
        <w:t>. realitu pri predchádzajúcich implementovaných sprísneniach podmienok</w:t>
      </w:r>
      <w:r w:rsidRPr="00057923">
        <w:rPr>
          <w:rFonts w:ascii="Book Antiqua" w:eastAsia="Times New Roman" w:hAnsi="Book Antiqua" w:cs="Times New Roman"/>
          <w:b/>
          <w:i/>
        </w:rPr>
        <w:t xml:space="preserve"> nároku</w:t>
      </w:r>
      <w:r w:rsidRPr="00057923" w:rsidDel="003D21A8">
        <w:rPr>
          <w:rFonts w:ascii="Book Antiqua" w:eastAsia="Times New Roman" w:hAnsi="Book Antiqua" w:cs="Times New Roman"/>
          <w:b/>
          <w:i/>
        </w:rPr>
        <w:t xml:space="preserve"> na PSD v rokoch 2006 až 2011, ktoré sú uvedené v Boxe 2. </w:t>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eastAsia="Times New Roman" w:cs="Times New Roman"/>
          <w:noProof/>
        </w:rPr>
        <w:lastRenderedPageBreak/>
        <mc:AlternateContent>
          <mc:Choice Requires="wps">
            <w:drawing>
              <wp:inline distT="0" distB="0" distL="0" distR="0">
                <wp:extent cx="5709285" cy="9187180"/>
                <wp:effectExtent l="0" t="0" r="24765" b="13970"/>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9187180"/>
                        </a:xfrm>
                        <a:prstGeom prst="rect">
                          <a:avLst/>
                        </a:prstGeom>
                        <a:solidFill>
                          <a:sysClr val="window" lastClr="FFFFFF">
                            <a:lumMod val="75000"/>
                          </a:sysClr>
                        </a:solidFill>
                        <a:ln w="25400" cap="flat" cmpd="sng" algn="ctr">
                          <a:solidFill>
                            <a:srgbClr val="F79646"/>
                          </a:solidFill>
                          <a:prstDash val="solid"/>
                          <a:headEnd/>
                          <a:tailEnd/>
                        </a:ln>
                        <a:effectLst/>
                      </wps:spPr>
                      <wps:txbx>
                        <w:txbxContent>
                          <w:p w:rsidR="00057923" w:rsidRPr="00B616B3" w:rsidRDefault="00057923" w:rsidP="00057923">
                            <w:pPr>
                              <w:jc w:val="center"/>
                              <w:rPr>
                                <w:rFonts w:ascii="Book Antiqua" w:hAnsi="Book Antiqua"/>
                                <w:b/>
                                <w:sz w:val="20"/>
                                <w:szCs w:val="20"/>
                                <w:u w:val="single"/>
                              </w:rPr>
                            </w:pPr>
                            <w:r w:rsidRPr="00B616B3">
                              <w:rPr>
                                <w:rFonts w:ascii="Book Antiqua" w:hAnsi="Book Antiqua"/>
                                <w:b/>
                                <w:sz w:val="20"/>
                                <w:szCs w:val="20"/>
                                <w:u w:val="single"/>
                              </w:rPr>
                              <w:t xml:space="preserve">BOX 2: Predpoklady vs. realita pri sprísňovaní podmienok nároku na </w:t>
                            </w:r>
                            <w:r>
                              <w:rPr>
                                <w:rFonts w:ascii="Book Antiqua" w:hAnsi="Book Antiqua"/>
                                <w:b/>
                                <w:sz w:val="20"/>
                                <w:szCs w:val="20"/>
                                <w:u w:val="single"/>
                              </w:rPr>
                              <w:t>predčasný starobný dôchodok</w:t>
                            </w:r>
                          </w:p>
                          <w:p w:rsidR="00057923" w:rsidRPr="00B616B3" w:rsidRDefault="00057923" w:rsidP="00057923">
                            <w:pPr>
                              <w:jc w:val="both"/>
                              <w:rPr>
                                <w:rFonts w:ascii="Book Antiqua" w:hAnsi="Book Antiqua"/>
                                <w:sz w:val="20"/>
                                <w:szCs w:val="20"/>
                              </w:rPr>
                            </w:pPr>
                            <w:r w:rsidRPr="00B616B3">
                              <w:rPr>
                                <w:rFonts w:ascii="Book Antiqua" w:hAnsi="Book Antiqua"/>
                                <w:sz w:val="20"/>
                                <w:szCs w:val="20"/>
                              </w:rPr>
                              <w:t xml:space="preserve">S účinnosťou </w:t>
                            </w:r>
                            <w:r w:rsidRPr="00B616B3">
                              <w:rPr>
                                <w:rFonts w:ascii="Book Antiqua" w:hAnsi="Book Antiqua"/>
                                <w:b/>
                                <w:sz w:val="20"/>
                                <w:szCs w:val="20"/>
                              </w:rPr>
                              <w:t>od 1. augusta 2006</w:t>
                            </w:r>
                            <w:r w:rsidRPr="00B616B3">
                              <w:rPr>
                                <w:rFonts w:ascii="Book Antiqua" w:hAnsi="Book Antiqua"/>
                                <w:sz w:val="20"/>
                                <w:szCs w:val="20"/>
                              </w:rPr>
                              <w:t xml:space="preserve"> už nie je možné žiadať o predčasný starobný dôchodok</w:t>
                            </w:r>
                            <w:r>
                              <w:rPr>
                                <w:rFonts w:ascii="Book Antiqua" w:hAnsi="Book Antiqua"/>
                                <w:sz w:val="20"/>
                                <w:szCs w:val="20"/>
                              </w:rPr>
                              <w:t xml:space="preserve"> (PSD)</w:t>
                            </w:r>
                            <w:r w:rsidRPr="00B616B3">
                              <w:rPr>
                                <w:rFonts w:ascii="Book Antiqua" w:hAnsi="Book Antiqua"/>
                                <w:sz w:val="20"/>
                                <w:szCs w:val="20"/>
                              </w:rPr>
                              <w:t xml:space="preserve"> spätne a nie je možné si uplatniť nekrátenie PSD za obdobie 12 mesiacov pri neuplatnení nároku na </w:t>
                            </w:r>
                            <w:r w:rsidRPr="002A19BF">
                              <w:rPr>
                                <w:rFonts w:ascii="Book Antiqua" w:hAnsi="Book Antiqua"/>
                                <w:sz w:val="20"/>
                                <w:szCs w:val="20"/>
                              </w:rPr>
                              <w:t>dávku v nezamestnanosti (ak osoba bola poistená v nezamestnanosti 7 rokov nepretržite</w:t>
                            </w:r>
                            <w:r>
                              <w:rPr>
                                <w:rFonts w:ascii="Book Antiqua" w:hAnsi="Book Antiqua"/>
                                <w:sz w:val="20"/>
                                <w:szCs w:val="20"/>
                              </w:rPr>
                              <w:t>, avšak zostala možnosť nekrátenia za 6 mesiacov</w:t>
                            </w:r>
                            <w:r w:rsidRPr="002A19BF">
                              <w:rPr>
                                <w:rFonts w:ascii="Book Antiqua" w:hAnsi="Book Antiqua"/>
                                <w:sz w:val="20"/>
                                <w:szCs w:val="20"/>
                              </w:rPr>
                              <w:t xml:space="preserve">). Výhodnosť spätného priznávania najmä pre vyššie zárobkovo činné osoby ešte viacej znásobila skutočnosť, že ak osoba požiadala o spätné priznanie PSD najneskôr k 30. júnu 2005 tak rozhodujúcim obdobím na určenie priemerného osobného mzdového bodu boli kalendárne roky od roku 1994 a nie ako neskôr od roku 1984, t. j. väčšina vysokopríjmových zaznamenala výraznejšie vyššie zárobky v porovnaní s priemernou mzdou ako v prípade obdobia 1984 – 1993. Z tohto titulu sa očakávala úspora na výdavkoch Sociálnej poisťovne v roku 2006 v sume </w:t>
                            </w:r>
                            <w:r w:rsidRPr="002A19BF">
                              <w:rPr>
                                <w:rFonts w:ascii="Book Antiqua" w:hAnsi="Book Antiqua"/>
                                <w:b/>
                                <w:sz w:val="20"/>
                                <w:szCs w:val="20"/>
                              </w:rPr>
                              <w:t xml:space="preserve">cca 2,5 mil. eur </w:t>
                            </w:r>
                            <w:r w:rsidRPr="002A19BF">
                              <w:rPr>
                                <w:rFonts w:ascii="Book Antiqua" w:hAnsi="Book Antiqua"/>
                                <w:sz w:val="20"/>
                                <w:szCs w:val="20"/>
                              </w:rPr>
                              <w:t xml:space="preserve">(75 mil. SK). Naproti tomu v porovnaní s návrhom rozpočtu došlo k zvýšeniu výdavkov na PSD </w:t>
                            </w:r>
                            <w:r w:rsidRPr="004467E2">
                              <w:rPr>
                                <w:rFonts w:ascii="Book Antiqua" w:hAnsi="Book Antiqua"/>
                                <w:b/>
                                <w:sz w:val="20"/>
                                <w:szCs w:val="20"/>
                              </w:rPr>
                              <w:t>o cca 45,5 mil. eur</w:t>
                            </w:r>
                            <w:r w:rsidRPr="004467E2">
                              <w:rPr>
                                <w:rFonts w:ascii="Book Antiqua" w:hAnsi="Book Antiqua"/>
                                <w:sz w:val="20"/>
                                <w:szCs w:val="20"/>
                              </w:rPr>
                              <w:t xml:space="preserve"> (1 371 mil. SK)</w:t>
                            </w:r>
                            <w:r w:rsidRPr="00B616B3">
                              <w:rPr>
                                <w:rFonts w:ascii="Book Antiqua" w:hAnsi="Book Antiqua"/>
                                <w:sz w:val="20"/>
                                <w:szCs w:val="20"/>
                              </w:rPr>
                              <w:t xml:space="preserve"> v roku 2006. Dôvodom bol vyšší počet novopriznaných predčasných starobných dôchodkov, vyššia priemerná suma novopriznaného PSD a značný príliv nových žiadosti </w:t>
                            </w:r>
                            <w:r w:rsidRPr="004467E2">
                              <w:rPr>
                                <w:rFonts w:ascii="Book Antiqua" w:hAnsi="Book Antiqua"/>
                                <w:sz w:val="20"/>
                                <w:szCs w:val="20"/>
                              </w:rPr>
                              <w:t xml:space="preserve">podaných ešte </w:t>
                            </w:r>
                            <w:r w:rsidRPr="004467E2">
                              <w:rPr>
                                <w:rFonts w:ascii="Book Antiqua" w:hAnsi="Book Antiqua"/>
                                <w:b/>
                                <w:i/>
                                <w:sz w:val="20"/>
                                <w:szCs w:val="20"/>
                              </w:rPr>
                              <w:t>pred účinnosťou sprísnenia podmienok nároku  na túto dávku</w:t>
                            </w:r>
                            <w:r w:rsidRPr="004467E2">
                              <w:rPr>
                                <w:rFonts w:ascii="Book Antiqua" w:hAnsi="Book Antiqua"/>
                                <w:sz w:val="20"/>
                                <w:szCs w:val="20"/>
                              </w:rPr>
                              <w:t xml:space="preserve">. </w:t>
                            </w:r>
                            <w:r w:rsidRPr="004467E2">
                              <w:rPr>
                                <w:rFonts w:ascii="Book Antiqua" w:hAnsi="Book Antiqua"/>
                                <w:i/>
                                <w:sz w:val="20"/>
                                <w:szCs w:val="20"/>
                              </w:rPr>
                              <w:t xml:space="preserve">Celkové výdavky na PSD v roku 2006 boli vyššie ako rozpočtované </w:t>
                            </w:r>
                            <w:r w:rsidRPr="004467E2">
                              <w:rPr>
                                <w:rFonts w:ascii="Book Antiqua" w:hAnsi="Book Antiqua"/>
                                <w:b/>
                                <w:i/>
                                <w:sz w:val="20"/>
                                <w:szCs w:val="20"/>
                              </w:rPr>
                              <w:t xml:space="preserve">o 55,1 mil. eur </w:t>
                            </w:r>
                            <w:r w:rsidRPr="004467E2">
                              <w:rPr>
                                <w:rFonts w:ascii="Book Antiqua" w:hAnsi="Book Antiqua"/>
                                <w:sz w:val="20"/>
                                <w:szCs w:val="20"/>
                              </w:rPr>
                              <w:t>(1 660 mil. SK)</w:t>
                            </w:r>
                            <w:r w:rsidRPr="004467E2">
                              <w:rPr>
                                <w:rFonts w:ascii="Book Antiqua" w:hAnsi="Book Antiqua"/>
                                <w:i/>
                                <w:sz w:val="20"/>
                                <w:szCs w:val="20"/>
                              </w:rPr>
                              <w:t>, pričom okrem novely sa na tom podieľalo aj vyššie počty novopriznaných oproti rozpočtovaným</w:t>
                            </w:r>
                            <w:r w:rsidRPr="00B616B3">
                              <w:rPr>
                                <w:rFonts w:ascii="Book Antiqua" w:hAnsi="Book Antiqua"/>
                                <w:i/>
                                <w:sz w:val="20"/>
                                <w:szCs w:val="20"/>
                              </w:rPr>
                              <w:t xml:space="preserve"> a vyššia priemerná suma novopriznaného PSD.</w:t>
                            </w:r>
                            <w:r w:rsidRPr="00B616B3">
                              <w:rPr>
                                <w:rFonts w:ascii="Book Antiqua" w:hAnsi="Book Antiqua"/>
                                <w:sz w:val="20"/>
                                <w:szCs w:val="20"/>
                              </w:rPr>
                              <w:t xml:space="preserve"> </w:t>
                            </w:r>
                          </w:p>
                          <w:p w:rsidR="00057923" w:rsidRPr="00B616B3" w:rsidRDefault="00057923" w:rsidP="00057923">
                            <w:pPr>
                              <w:jc w:val="both"/>
                              <w:rPr>
                                <w:rFonts w:ascii="Book Antiqua" w:hAnsi="Book Antiqua"/>
                                <w:sz w:val="20"/>
                                <w:szCs w:val="20"/>
                              </w:rPr>
                            </w:pPr>
                            <w:r w:rsidRPr="00B616B3">
                              <w:rPr>
                                <w:rFonts w:ascii="Book Antiqua" w:hAnsi="Book Antiqua"/>
                                <w:sz w:val="20"/>
                                <w:szCs w:val="20"/>
                              </w:rPr>
                              <w:t xml:space="preserve"> S účinnosťou od </w:t>
                            </w:r>
                            <w:r w:rsidRPr="00B616B3">
                              <w:rPr>
                                <w:rFonts w:ascii="Book Antiqua" w:hAnsi="Book Antiqua"/>
                                <w:b/>
                                <w:sz w:val="20"/>
                                <w:szCs w:val="20"/>
                              </w:rPr>
                              <w:t>1. januára 2008</w:t>
                            </w:r>
                            <w:r w:rsidRPr="00B616B3">
                              <w:rPr>
                                <w:rFonts w:ascii="Book Antiqua" w:hAnsi="Book Antiqua"/>
                                <w:sz w:val="20"/>
                                <w:szCs w:val="20"/>
                              </w:rPr>
                              <w:t xml:space="preserve"> sa zaviedla podmienka, že predčasný starobný dôchodok je možné priznať najmenej 2 roky pred dovŕšením dôchodkového veku a nie je možné si uplatniť nekrátenie </w:t>
                            </w:r>
                            <w:r w:rsidRPr="004467E2">
                              <w:rPr>
                                <w:rFonts w:ascii="Book Antiqua" w:hAnsi="Book Antiqua"/>
                                <w:sz w:val="20"/>
                                <w:szCs w:val="20"/>
                              </w:rPr>
                              <w:t>PSD za obdobie 6 mesiacov pri neuplatnení nároku na dávku v nezamestnanosti</w:t>
                            </w:r>
                            <w:r w:rsidRPr="00B616B3">
                              <w:rPr>
                                <w:rFonts w:ascii="Book Antiqua" w:hAnsi="Book Antiqua"/>
                                <w:sz w:val="20"/>
                                <w:szCs w:val="20"/>
                              </w:rPr>
                              <w:t xml:space="preserve">. Z tohto titulu sa očakávala úspora na výdavkoch Sociálnej poisťovne v roku 2008 v sume </w:t>
                            </w:r>
                            <w:r w:rsidRPr="00B616B3">
                              <w:rPr>
                                <w:rFonts w:ascii="Book Antiqua" w:hAnsi="Book Antiqua"/>
                                <w:b/>
                                <w:sz w:val="20"/>
                                <w:szCs w:val="20"/>
                              </w:rPr>
                              <w:t xml:space="preserve">cca 24,9 mil. eur </w:t>
                            </w:r>
                            <w:r w:rsidRPr="00B616B3">
                              <w:rPr>
                                <w:rFonts w:ascii="Book Antiqua" w:hAnsi="Book Antiqua"/>
                                <w:sz w:val="20"/>
                                <w:szCs w:val="20"/>
                              </w:rPr>
                              <w:t xml:space="preserve">(750 mil. SK). Naproti tomu v porovnaní s návrhom rozpočtu došlo len vplyvom novely k zvýšeniu výdavkov na PSD </w:t>
                            </w:r>
                            <w:r w:rsidRPr="00B616B3">
                              <w:rPr>
                                <w:rFonts w:ascii="Book Antiqua" w:hAnsi="Book Antiqua"/>
                                <w:b/>
                                <w:sz w:val="20"/>
                                <w:szCs w:val="20"/>
                              </w:rPr>
                              <w:t>o cca 58,6 mil. eur</w:t>
                            </w:r>
                            <w:r w:rsidRPr="00B616B3">
                              <w:rPr>
                                <w:rFonts w:ascii="Book Antiqua" w:hAnsi="Book Antiqua"/>
                                <w:sz w:val="20"/>
                                <w:szCs w:val="20"/>
                              </w:rPr>
                              <w:t xml:space="preserve"> (1 764 mil. SK) v roku 2008. Dôvodom bol vyšší počet novopriznaných predčasných starobných dôchodkov a značný príliv nových žiadosti podaných ešte </w:t>
                            </w:r>
                            <w:r w:rsidRPr="00B616B3">
                              <w:rPr>
                                <w:rFonts w:ascii="Book Antiqua" w:hAnsi="Book Antiqua"/>
                                <w:b/>
                                <w:i/>
                                <w:sz w:val="20"/>
                                <w:szCs w:val="20"/>
                              </w:rPr>
                              <w:t>pred účinnosťou sprísnenia podmienok nároku  na túto dávku</w:t>
                            </w:r>
                            <w:r w:rsidRPr="00B616B3">
                              <w:rPr>
                                <w:rFonts w:ascii="Book Antiqua" w:hAnsi="Book Antiqua"/>
                                <w:sz w:val="20"/>
                                <w:szCs w:val="20"/>
                              </w:rPr>
                              <w:t xml:space="preserve">.  </w:t>
                            </w:r>
                            <w:r w:rsidRPr="00B616B3">
                              <w:rPr>
                                <w:rFonts w:ascii="Book Antiqua" w:hAnsi="Book Antiqua"/>
                                <w:i/>
                                <w:sz w:val="20"/>
                                <w:szCs w:val="20"/>
                              </w:rPr>
                              <w:t xml:space="preserve">Celkové výdavky na PSD v roku 2008 boli vyššie ako rozpočtované </w:t>
                            </w:r>
                            <w:r w:rsidRPr="00B616B3">
                              <w:rPr>
                                <w:rFonts w:ascii="Book Antiqua" w:hAnsi="Book Antiqua"/>
                                <w:b/>
                                <w:i/>
                                <w:sz w:val="20"/>
                                <w:szCs w:val="20"/>
                              </w:rPr>
                              <w:t xml:space="preserve">o 72,1 mil. eur </w:t>
                            </w:r>
                            <w:r w:rsidRPr="00B616B3">
                              <w:rPr>
                                <w:rFonts w:ascii="Book Antiqua" w:hAnsi="Book Antiqua"/>
                                <w:sz w:val="20"/>
                                <w:szCs w:val="20"/>
                              </w:rPr>
                              <w:t>(2 171 mil. SK)</w:t>
                            </w:r>
                            <w:r w:rsidRPr="00B616B3">
                              <w:rPr>
                                <w:rFonts w:ascii="Book Antiqua" w:hAnsi="Book Antiqua"/>
                                <w:i/>
                                <w:sz w:val="20"/>
                                <w:szCs w:val="20"/>
                              </w:rPr>
                              <w:t xml:space="preserve">, </w:t>
                            </w:r>
                            <w:r w:rsidRPr="004467E2">
                              <w:rPr>
                                <w:rFonts w:ascii="Book Antiqua" w:hAnsi="Book Antiqua"/>
                                <w:i/>
                                <w:sz w:val="20"/>
                                <w:szCs w:val="20"/>
                              </w:rPr>
                              <w:t>pričom okrem novely sa na tom podieľalo aj vyššie počty novopriznaných oproti rozpočtovaným a vyššia priemerná suma novopriznaného PSD.</w:t>
                            </w:r>
                          </w:p>
                          <w:p w:rsidR="00057923" w:rsidRPr="00B616B3" w:rsidRDefault="00057923" w:rsidP="00057923">
                            <w:pPr>
                              <w:pStyle w:val="Default"/>
                              <w:spacing w:line="276" w:lineRule="auto"/>
                              <w:jc w:val="both"/>
                              <w:rPr>
                                <w:rFonts w:ascii="Book Antiqua" w:hAnsi="Book Antiqua"/>
                                <w:sz w:val="20"/>
                                <w:szCs w:val="20"/>
                              </w:rPr>
                            </w:pPr>
                            <w:r w:rsidRPr="00B616B3">
                              <w:rPr>
                                <w:rFonts w:ascii="Book Antiqua" w:hAnsi="Book Antiqua"/>
                                <w:sz w:val="20"/>
                                <w:szCs w:val="20"/>
                              </w:rPr>
                              <w:t xml:space="preserve">S účinnosťou od </w:t>
                            </w:r>
                            <w:r w:rsidRPr="00B616B3">
                              <w:rPr>
                                <w:rFonts w:ascii="Book Antiqua" w:hAnsi="Book Antiqua"/>
                                <w:b/>
                                <w:sz w:val="20"/>
                                <w:szCs w:val="20"/>
                              </w:rPr>
                              <w:t>1. januára 2011</w:t>
                            </w:r>
                            <w:r w:rsidRPr="00B616B3">
                              <w:rPr>
                                <w:rFonts w:ascii="Book Antiqua" w:hAnsi="Book Antiqua"/>
                                <w:sz w:val="20"/>
                                <w:szCs w:val="20"/>
                              </w:rPr>
                              <w:t xml:space="preserve"> sa zaviedol princíp PSD alebo zárobok (s určitým prechodným obdobím do 28. februára 2011 pre PSD priznané pred účinnosťou zmeny). Z tohto titulu sa očakávala úspora na výdavkoch Sociálnej poisťovne v roku 2011 v sume </w:t>
                            </w:r>
                            <w:r w:rsidRPr="00B616B3">
                              <w:rPr>
                                <w:rFonts w:ascii="Book Antiqua" w:hAnsi="Book Antiqua"/>
                                <w:b/>
                                <w:sz w:val="20"/>
                                <w:szCs w:val="20"/>
                              </w:rPr>
                              <w:t>cca 55,9 mil. eur</w:t>
                            </w:r>
                            <w:r w:rsidRPr="00B616B3">
                              <w:rPr>
                                <w:rFonts w:ascii="Book Antiqua" w:hAnsi="Book Antiqua"/>
                                <w:sz w:val="20"/>
                                <w:szCs w:val="20"/>
                              </w:rPr>
                              <w:t xml:space="preserve">. Skutočný vplyv novely by na základe dostupných údajov predstavoval v roku 2011 úsporu cca </w:t>
                            </w:r>
                            <w:r w:rsidRPr="00B616B3">
                              <w:rPr>
                                <w:rFonts w:ascii="Book Antiqua" w:hAnsi="Book Antiqua"/>
                                <w:b/>
                                <w:sz w:val="20"/>
                                <w:szCs w:val="20"/>
                              </w:rPr>
                              <w:t>62 mil. eur,</w:t>
                            </w:r>
                            <w:r w:rsidRPr="00B616B3">
                              <w:rPr>
                                <w:rFonts w:ascii="Book Antiqua" w:hAnsi="Book Antiqua"/>
                                <w:sz w:val="20"/>
                                <w:szCs w:val="20"/>
                              </w:rPr>
                              <w:t xml:space="preserve"> takže pôvodný odhad bol iba mierne podhodnotený. </w:t>
                            </w:r>
                            <w:r w:rsidRPr="00B616B3">
                              <w:rPr>
                                <w:rFonts w:ascii="Book Antiqua" w:hAnsi="Book Antiqua"/>
                                <w:i/>
                                <w:color w:val="auto"/>
                                <w:sz w:val="20"/>
                                <w:szCs w:val="20"/>
                              </w:rPr>
                              <w:t xml:space="preserve">Celkové výdavky na PSD v roku 2011 boli nižšie ako rozpočtované </w:t>
                            </w:r>
                            <w:r w:rsidRPr="00B616B3">
                              <w:rPr>
                                <w:rFonts w:ascii="Book Antiqua" w:hAnsi="Book Antiqua"/>
                                <w:b/>
                                <w:i/>
                                <w:color w:val="auto"/>
                                <w:sz w:val="20"/>
                                <w:szCs w:val="20"/>
                              </w:rPr>
                              <w:t>o 117,1 mil. eur</w:t>
                            </w:r>
                            <w:r w:rsidRPr="00B616B3">
                              <w:rPr>
                                <w:rFonts w:ascii="Book Antiqua" w:hAnsi="Book Antiqua"/>
                                <w:i/>
                                <w:color w:val="auto"/>
                                <w:sz w:val="20"/>
                                <w:szCs w:val="20"/>
                              </w:rPr>
                              <w:t>, pričom okrem novely sa na tom podieľali aj nižšie počty novopriznaných oproti rozpočtovaným, nižšia priemerná suma novopriznaného PSD a vyšší presun PSD do SD ako sa očakávalo.</w:t>
                            </w:r>
                          </w:p>
                          <w:p w:rsidR="00057923" w:rsidRPr="00B616B3" w:rsidRDefault="00057923" w:rsidP="00057923">
                            <w:pPr>
                              <w:pStyle w:val="Default"/>
                              <w:spacing w:line="276" w:lineRule="auto"/>
                              <w:jc w:val="both"/>
                              <w:rPr>
                                <w:i/>
                                <w:sz w:val="21"/>
                                <w:szCs w:val="21"/>
                              </w:rPr>
                            </w:pPr>
                          </w:p>
                          <w:p w:rsidR="00057923" w:rsidRPr="00B616B3" w:rsidRDefault="00057923" w:rsidP="00057923">
                            <w:pPr>
                              <w:jc w:val="both"/>
                              <w:rPr>
                                <w:rFonts w:ascii="Garamond" w:hAnsi="Garamond"/>
                                <w:b/>
                              </w:rPr>
                            </w:pPr>
                            <w:r w:rsidRPr="00B616B3">
                              <w:rPr>
                                <w:rFonts w:ascii="Garamond" w:hAnsi="Garamond"/>
                                <w:b/>
                              </w:rPr>
                              <w:t>Všetky implementované zmeny sprísnenia PSD okrem vecných cieľov sledovali aj cieľ znižovania výdavkov, ktorý sa mal prejaviť okamžite v zlepšenej bilancii Sociálnej poisťovne. Predpoklady pritom v niektorých prípadoch počítali aj s určitou snahou osôb „mať priznaný“ PSD za miernejších podmienok (</w:t>
                            </w:r>
                            <w:r>
                              <w:rPr>
                                <w:rFonts w:ascii="Garamond" w:hAnsi="Garamond"/>
                                <w:b/>
                              </w:rPr>
                              <w:t>napr. doložka vplyvov k novele z</w:t>
                            </w:r>
                            <w:r w:rsidRPr="00B616B3">
                              <w:rPr>
                                <w:rFonts w:ascii="Garamond" w:hAnsi="Garamond"/>
                                <w:b/>
                              </w:rPr>
                              <w:t> roku 2007) – boli však podhodnotené. V rokoch 2006 a 2008 viedlo správanie poistencov k </w:t>
                            </w:r>
                            <w:r w:rsidRPr="00B616B3">
                              <w:rPr>
                                <w:rFonts w:ascii="Garamond" w:hAnsi="Garamond"/>
                                <w:b/>
                                <w:u w:val="single"/>
                              </w:rPr>
                              <w:t>„reverznému“</w:t>
                            </w:r>
                            <w:r w:rsidRPr="00B616B3">
                              <w:rPr>
                                <w:rFonts w:ascii="Garamond" w:hAnsi="Garamond"/>
                                <w:b/>
                              </w:rPr>
                              <w:t xml:space="preserve"> vývoju krátkodobých výdavkov, t. j. oproti predpokladom úspory došlo okamžite po spustení implementácie k zvýšeniu výdavko</w:t>
                            </w:r>
                            <w:r>
                              <w:rPr>
                                <w:rFonts w:ascii="Garamond" w:hAnsi="Garamond"/>
                                <w:b/>
                              </w:rPr>
                              <w:t>v. Štatistické údaje vyššie tiež</w:t>
                            </w:r>
                            <w:r w:rsidRPr="00B616B3">
                              <w:rPr>
                                <w:rFonts w:ascii="Garamond" w:hAnsi="Garamond"/>
                                <w:b/>
                              </w:rPr>
                              <w:t xml:space="preserve"> potvrdzujú pozitívny vplyv zmien v dlhodobom horizonte (okrem sprísnenia podmienok má nepochybne vplyv aj zlepšujúca sa situácia na trhu práce, ktorá sa prejavuje aj vo vyššej zamestnanosti starších).</w:t>
                            </w:r>
                          </w:p>
                          <w:p w:rsidR="00057923" w:rsidRPr="004A6548" w:rsidRDefault="00057923" w:rsidP="00057923">
                            <w:pPr>
                              <w:jc w:val="both"/>
                              <w:rPr>
                                <w:rFonts w:ascii="Garamond" w:hAnsi="Garamond"/>
                                <w:i/>
                              </w:rPr>
                            </w:pPr>
                            <w:r w:rsidRPr="00B616B3">
                              <w:rPr>
                                <w:rFonts w:ascii="Garamond" w:hAnsi="Garamond"/>
                                <w:i/>
                              </w:rPr>
                              <w:t>*Nakoľko sa rozpočet Sociálnej poisťovne záväzne zostavuje iba na najbližší rok (n + 1) a ďalšie roky sú následne prispôsobované priebežnej skutočnosti v aktuálnom roku (n) nemá veľký význam porovnávanie predpokladov v doložkách s vývojom rokov (n+2) a (n+3).</w:t>
                            </w:r>
                            <w:r>
                              <w:rPr>
                                <w:rFonts w:ascii="Garamond" w:hAnsi="Garamond"/>
                                <w:i/>
                              </w:rPr>
                              <w:t xml:space="preserve"> </w:t>
                            </w:r>
                            <w:r w:rsidRPr="004A6548">
                              <w:rPr>
                                <w:rFonts w:ascii="Garamond" w:hAnsi="Garamond"/>
                                <w:i/>
                              </w:rPr>
                              <w:t xml:space="preserve">   </w:t>
                            </w:r>
                          </w:p>
                          <w:p w:rsidR="00057923" w:rsidRPr="00071C1B" w:rsidRDefault="00057923" w:rsidP="00057923">
                            <w:pPr>
                              <w:jc w:val="both"/>
                              <w:rPr>
                                <w:rFonts w:ascii="Garamond" w:hAnsi="Garamond"/>
                                <w:b/>
                              </w:rPr>
                            </w:pPr>
                          </w:p>
                        </w:txbxContent>
                      </wps:txbx>
                      <wps:bodyPr rot="0" vert="horz" wrap="square" lIns="91440" tIns="45720" rIns="91440" bIns="45720" anchor="t" anchorCtr="0">
                        <a:noAutofit/>
                      </wps:bodyPr>
                    </wps:wsp>
                  </a:graphicData>
                </a:graphic>
              </wp:inline>
            </w:drawing>
          </mc:Choice>
          <mc:Fallback>
            <w:pict>
              <v:shape id="Textové pole 19" o:spid="_x0000_s1027" type="#_x0000_t202" style="width:449.55pt;height:7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f4bQIAALYEAAAOAAAAZHJzL2Uyb0RvYy54bWysVNuO2jAQfa/Uf7D83k1AsEBEWG2hVJW2&#10;F2m3HzA4zkV1PK5tSOgf9Tv6Yx07QNntW9U8WL6Mj8+cM5PlXd8qdpDWNahzPrpJOZNaYNHoKudf&#10;n7Zv5pw5D7oAhVrm/Cgdv1u9frXsTCbHWKMqpGUEol3WmZzX3pssSZyoZQvuBo3UdFiibcHT0lZJ&#10;YaEj9FYl4zS9TTq0hbEopHO0uxkO+Sril6UU/nNZOumZyjlx83G0cdyFMVktIassmLoRJxrwDyxa&#10;aDQ9eoHagAe2t81fUG0jLDos/Y3ANsGybISMOVA2o/RFNo81GBlzIXGcucjk/h+s+HT4YllTkHcL&#10;zjS05NGT7D0efv1kBpVktE8idcZlFPtoKNr3b7GnCzFhZx5QfHNM47oGXcl7a7GrJRREchRuJldX&#10;BxwXQHbdRyzoMdh7jEB9adugIGnCCJ3MOl4MIkJM0OZ0li7G8ylngs4Wo/lsNI8WJpCdrxvr/HuJ&#10;LQuTnFuqgAgPhwfnAx3IziHhNYeqKbaNUnFxdGtl2QGoWKjGCuw4U+A8beZ8G7+IpfYtkR/iZtM0&#10;PXNw8X584xmu0qzL+Xg6oUgmgMq8VOBp2hoS3umKM1AV9Y/wdhD1GStb7S60trPF7eQ26vqCfMhq&#10;A64eaMX3h+oOZrzTRax0D40a5qSD0iFpGbvkJE7wKtgzGOX7XT/UxrkEdlgcyTyLQyNR49OkRvuD&#10;s46aiJL5vgcrSbYPmgpgMZpMQtfFxWQ6G9PCXp/srk9AC4LKOSkzTNc+dmpgqfGeCqVsooWB5cDk&#10;VF7UHFH1UyOH7rtex6g/v5vVbwAAAP//AwBQSwMEFAAGAAgAAAAhAFZdGgHcAAAABgEAAA8AAABk&#10;cnMvZG93bnJldi54bWxMj81OwzAQhO9IvIO1SNyoU2ijNI1TIVAuXBCFA8etvcRp/RPFbmveHsOF&#10;XkZazWjm22aTrGEnmsLgnYD5rABGTno1uF7Ax3t3VwELEZ1C4x0J+KYAm/b6qsFa+bN7o9M29iyX&#10;uFCjAB3jWHMepCaLYeZHctn78pPFmM+p52rCcy63ht8XRcktDi4vaBzpSZM8bI9WgOw6lV6fS9pr&#10;I1+W+JD2y08txO1NelwDi5Tifxh+8TM6tJlp549OBWYE5Efin2avWq3mwHY5tFiUFfC24Zf47Q8A&#10;AAD//wMAUEsBAi0AFAAGAAgAAAAhALaDOJL+AAAA4QEAABMAAAAAAAAAAAAAAAAAAAAAAFtDb250&#10;ZW50X1R5cGVzXS54bWxQSwECLQAUAAYACAAAACEAOP0h/9YAAACUAQAACwAAAAAAAAAAAAAAAAAv&#10;AQAAX3JlbHMvLnJlbHNQSwECLQAUAAYACAAAACEAOlSX+G0CAAC2BAAADgAAAAAAAAAAAAAAAAAu&#10;AgAAZHJzL2Uyb0RvYy54bWxQSwECLQAUAAYACAAAACEAVl0aAdwAAAAGAQAADwAAAAAAAAAAAAAA&#10;AADHBAAAZHJzL2Rvd25yZXYueG1sUEsFBgAAAAAEAAQA8wAAANAFAAAAAA==&#10;" fillcolor="#bfbfbf" strokecolor="#f79646" strokeweight="2pt">
                <v:textbox>
                  <w:txbxContent>
                    <w:p w:rsidR="00057923" w:rsidRPr="00B616B3" w:rsidRDefault="00057923" w:rsidP="00057923">
                      <w:pPr>
                        <w:jc w:val="center"/>
                        <w:rPr>
                          <w:rFonts w:ascii="Book Antiqua" w:hAnsi="Book Antiqua"/>
                          <w:b/>
                          <w:sz w:val="20"/>
                          <w:szCs w:val="20"/>
                          <w:u w:val="single"/>
                        </w:rPr>
                      </w:pPr>
                      <w:r w:rsidRPr="00B616B3">
                        <w:rPr>
                          <w:rFonts w:ascii="Book Antiqua" w:hAnsi="Book Antiqua"/>
                          <w:b/>
                          <w:sz w:val="20"/>
                          <w:szCs w:val="20"/>
                          <w:u w:val="single"/>
                        </w:rPr>
                        <w:t xml:space="preserve">BOX 2: Predpoklady vs. realita pri sprísňovaní podmienok nároku na </w:t>
                      </w:r>
                      <w:r>
                        <w:rPr>
                          <w:rFonts w:ascii="Book Antiqua" w:hAnsi="Book Antiqua"/>
                          <w:b/>
                          <w:sz w:val="20"/>
                          <w:szCs w:val="20"/>
                          <w:u w:val="single"/>
                        </w:rPr>
                        <w:t>predčasný starobný dôchodok</w:t>
                      </w:r>
                    </w:p>
                    <w:p w:rsidR="00057923" w:rsidRPr="00B616B3" w:rsidRDefault="00057923" w:rsidP="00057923">
                      <w:pPr>
                        <w:jc w:val="both"/>
                        <w:rPr>
                          <w:rFonts w:ascii="Book Antiqua" w:hAnsi="Book Antiqua"/>
                          <w:sz w:val="20"/>
                          <w:szCs w:val="20"/>
                        </w:rPr>
                      </w:pPr>
                      <w:r w:rsidRPr="00B616B3">
                        <w:rPr>
                          <w:rFonts w:ascii="Book Antiqua" w:hAnsi="Book Antiqua"/>
                          <w:sz w:val="20"/>
                          <w:szCs w:val="20"/>
                        </w:rPr>
                        <w:t xml:space="preserve">S účinnosťou </w:t>
                      </w:r>
                      <w:r w:rsidRPr="00B616B3">
                        <w:rPr>
                          <w:rFonts w:ascii="Book Antiqua" w:hAnsi="Book Antiqua"/>
                          <w:b/>
                          <w:sz w:val="20"/>
                          <w:szCs w:val="20"/>
                        </w:rPr>
                        <w:t>od 1. augusta 2006</w:t>
                      </w:r>
                      <w:r w:rsidRPr="00B616B3">
                        <w:rPr>
                          <w:rFonts w:ascii="Book Antiqua" w:hAnsi="Book Antiqua"/>
                          <w:sz w:val="20"/>
                          <w:szCs w:val="20"/>
                        </w:rPr>
                        <w:t xml:space="preserve"> už nie je možné žiadať o predčasný starobný dôchodok</w:t>
                      </w:r>
                      <w:r>
                        <w:rPr>
                          <w:rFonts w:ascii="Book Antiqua" w:hAnsi="Book Antiqua"/>
                          <w:sz w:val="20"/>
                          <w:szCs w:val="20"/>
                        </w:rPr>
                        <w:t xml:space="preserve"> (PSD)</w:t>
                      </w:r>
                      <w:r w:rsidRPr="00B616B3">
                        <w:rPr>
                          <w:rFonts w:ascii="Book Antiqua" w:hAnsi="Book Antiqua"/>
                          <w:sz w:val="20"/>
                          <w:szCs w:val="20"/>
                        </w:rPr>
                        <w:t xml:space="preserve"> spätne a nie je možné si uplatniť nekrátenie PSD za obdobie 12 mesiacov pri neuplatnení nároku na </w:t>
                      </w:r>
                      <w:r w:rsidRPr="002A19BF">
                        <w:rPr>
                          <w:rFonts w:ascii="Book Antiqua" w:hAnsi="Book Antiqua"/>
                          <w:sz w:val="20"/>
                          <w:szCs w:val="20"/>
                        </w:rPr>
                        <w:t>dávku v nezamestnanosti (ak osoba bola poistená v nezamestnanosti 7 rokov nepretržite</w:t>
                      </w:r>
                      <w:r>
                        <w:rPr>
                          <w:rFonts w:ascii="Book Antiqua" w:hAnsi="Book Antiqua"/>
                          <w:sz w:val="20"/>
                          <w:szCs w:val="20"/>
                        </w:rPr>
                        <w:t>, avšak zostala možnosť nekrátenia za 6 mesiacov</w:t>
                      </w:r>
                      <w:r w:rsidRPr="002A19BF">
                        <w:rPr>
                          <w:rFonts w:ascii="Book Antiqua" w:hAnsi="Book Antiqua"/>
                          <w:sz w:val="20"/>
                          <w:szCs w:val="20"/>
                        </w:rPr>
                        <w:t xml:space="preserve">). Výhodnosť spätného priznávania najmä pre vyššie zárobkovo činné osoby ešte viacej znásobila skutočnosť, že ak osoba požiadala o spätné priznanie PSD najneskôr k 30. júnu 2005 tak rozhodujúcim obdobím na určenie priemerného osobného mzdového bodu boli kalendárne roky od roku 1994 a nie ako neskôr od roku 1984, t. j. väčšina vysokopríjmových zaznamenala výraznejšie vyššie zárobky v porovnaní s priemernou mzdou ako v prípade obdobia 1984 – 1993. Z tohto titulu sa očakávala úspora na výdavkoch Sociálnej poisťovne v roku 2006 v sume </w:t>
                      </w:r>
                      <w:r w:rsidRPr="002A19BF">
                        <w:rPr>
                          <w:rFonts w:ascii="Book Antiqua" w:hAnsi="Book Antiqua"/>
                          <w:b/>
                          <w:sz w:val="20"/>
                          <w:szCs w:val="20"/>
                        </w:rPr>
                        <w:t xml:space="preserve">cca 2,5 mil. eur </w:t>
                      </w:r>
                      <w:r w:rsidRPr="002A19BF">
                        <w:rPr>
                          <w:rFonts w:ascii="Book Antiqua" w:hAnsi="Book Antiqua"/>
                          <w:sz w:val="20"/>
                          <w:szCs w:val="20"/>
                        </w:rPr>
                        <w:t xml:space="preserve">(75 mil. SK). Naproti tomu v porovnaní s návrhom rozpočtu došlo k zvýšeniu výdavkov na PSD </w:t>
                      </w:r>
                      <w:r w:rsidRPr="004467E2">
                        <w:rPr>
                          <w:rFonts w:ascii="Book Antiqua" w:hAnsi="Book Antiqua"/>
                          <w:b/>
                          <w:sz w:val="20"/>
                          <w:szCs w:val="20"/>
                        </w:rPr>
                        <w:t>o cca 45,5 mil. eur</w:t>
                      </w:r>
                      <w:r w:rsidRPr="004467E2">
                        <w:rPr>
                          <w:rFonts w:ascii="Book Antiqua" w:hAnsi="Book Antiqua"/>
                          <w:sz w:val="20"/>
                          <w:szCs w:val="20"/>
                        </w:rPr>
                        <w:t xml:space="preserve"> (1 371 mil. SK)</w:t>
                      </w:r>
                      <w:r w:rsidRPr="00B616B3">
                        <w:rPr>
                          <w:rFonts w:ascii="Book Antiqua" w:hAnsi="Book Antiqua"/>
                          <w:sz w:val="20"/>
                          <w:szCs w:val="20"/>
                        </w:rPr>
                        <w:t xml:space="preserve"> v roku 2006. Dôvodom bol vyšší počet novopriznaných predčasných starobných dôchodkov, vyššia priemerná suma novopriznaného PSD a značný príliv nových žiadosti </w:t>
                      </w:r>
                      <w:r w:rsidRPr="004467E2">
                        <w:rPr>
                          <w:rFonts w:ascii="Book Antiqua" w:hAnsi="Book Antiqua"/>
                          <w:sz w:val="20"/>
                          <w:szCs w:val="20"/>
                        </w:rPr>
                        <w:t xml:space="preserve">podaných ešte </w:t>
                      </w:r>
                      <w:r w:rsidRPr="004467E2">
                        <w:rPr>
                          <w:rFonts w:ascii="Book Antiqua" w:hAnsi="Book Antiqua"/>
                          <w:b/>
                          <w:i/>
                          <w:sz w:val="20"/>
                          <w:szCs w:val="20"/>
                        </w:rPr>
                        <w:t>pred účinnosťou sprísnenia podmienok nároku  na túto dávku</w:t>
                      </w:r>
                      <w:r w:rsidRPr="004467E2">
                        <w:rPr>
                          <w:rFonts w:ascii="Book Antiqua" w:hAnsi="Book Antiqua"/>
                          <w:sz w:val="20"/>
                          <w:szCs w:val="20"/>
                        </w:rPr>
                        <w:t xml:space="preserve">. </w:t>
                      </w:r>
                      <w:r w:rsidRPr="004467E2">
                        <w:rPr>
                          <w:rFonts w:ascii="Book Antiqua" w:hAnsi="Book Antiqua"/>
                          <w:i/>
                          <w:sz w:val="20"/>
                          <w:szCs w:val="20"/>
                        </w:rPr>
                        <w:t xml:space="preserve">Celkové výdavky na PSD v roku 2006 boli vyššie ako rozpočtované </w:t>
                      </w:r>
                      <w:r w:rsidRPr="004467E2">
                        <w:rPr>
                          <w:rFonts w:ascii="Book Antiqua" w:hAnsi="Book Antiqua"/>
                          <w:b/>
                          <w:i/>
                          <w:sz w:val="20"/>
                          <w:szCs w:val="20"/>
                        </w:rPr>
                        <w:t xml:space="preserve">o 55,1 mil. eur </w:t>
                      </w:r>
                      <w:r w:rsidRPr="004467E2">
                        <w:rPr>
                          <w:rFonts w:ascii="Book Antiqua" w:hAnsi="Book Antiqua"/>
                          <w:sz w:val="20"/>
                          <w:szCs w:val="20"/>
                        </w:rPr>
                        <w:t>(1 660 mil. SK)</w:t>
                      </w:r>
                      <w:r w:rsidRPr="004467E2">
                        <w:rPr>
                          <w:rFonts w:ascii="Book Antiqua" w:hAnsi="Book Antiqua"/>
                          <w:i/>
                          <w:sz w:val="20"/>
                          <w:szCs w:val="20"/>
                        </w:rPr>
                        <w:t>, pričom okrem novely sa na tom podieľalo aj vyššie počty novopriznaných oproti rozpočtovaným</w:t>
                      </w:r>
                      <w:r w:rsidRPr="00B616B3">
                        <w:rPr>
                          <w:rFonts w:ascii="Book Antiqua" w:hAnsi="Book Antiqua"/>
                          <w:i/>
                          <w:sz w:val="20"/>
                          <w:szCs w:val="20"/>
                        </w:rPr>
                        <w:t xml:space="preserve"> a vyššia priemerná suma novopriznaného PSD.</w:t>
                      </w:r>
                      <w:r w:rsidRPr="00B616B3">
                        <w:rPr>
                          <w:rFonts w:ascii="Book Antiqua" w:hAnsi="Book Antiqua"/>
                          <w:sz w:val="20"/>
                          <w:szCs w:val="20"/>
                        </w:rPr>
                        <w:t xml:space="preserve"> </w:t>
                      </w:r>
                    </w:p>
                    <w:p w:rsidR="00057923" w:rsidRPr="00B616B3" w:rsidRDefault="00057923" w:rsidP="00057923">
                      <w:pPr>
                        <w:jc w:val="both"/>
                        <w:rPr>
                          <w:rFonts w:ascii="Book Antiqua" w:hAnsi="Book Antiqua"/>
                          <w:sz w:val="20"/>
                          <w:szCs w:val="20"/>
                        </w:rPr>
                      </w:pPr>
                      <w:r w:rsidRPr="00B616B3">
                        <w:rPr>
                          <w:rFonts w:ascii="Book Antiqua" w:hAnsi="Book Antiqua"/>
                          <w:sz w:val="20"/>
                          <w:szCs w:val="20"/>
                        </w:rPr>
                        <w:t xml:space="preserve"> S účinnosťou od </w:t>
                      </w:r>
                      <w:r w:rsidRPr="00B616B3">
                        <w:rPr>
                          <w:rFonts w:ascii="Book Antiqua" w:hAnsi="Book Antiqua"/>
                          <w:b/>
                          <w:sz w:val="20"/>
                          <w:szCs w:val="20"/>
                        </w:rPr>
                        <w:t>1. januára 2008</w:t>
                      </w:r>
                      <w:r w:rsidRPr="00B616B3">
                        <w:rPr>
                          <w:rFonts w:ascii="Book Antiqua" w:hAnsi="Book Antiqua"/>
                          <w:sz w:val="20"/>
                          <w:szCs w:val="20"/>
                        </w:rPr>
                        <w:t xml:space="preserve"> sa zaviedla podmienka, že predčasný starobný dôchodok je možné priznať najmenej 2 roky pred dovŕšením dôchodkového veku a nie je možné si uplatniť nekrátenie </w:t>
                      </w:r>
                      <w:r w:rsidRPr="004467E2">
                        <w:rPr>
                          <w:rFonts w:ascii="Book Antiqua" w:hAnsi="Book Antiqua"/>
                          <w:sz w:val="20"/>
                          <w:szCs w:val="20"/>
                        </w:rPr>
                        <w:t>PSD za obdobie 6 mesiacov pri neuplatnení nároku na dávku v nezamestnanosti</w:t>
                      </w:r>
                      <w:r w:rsidRPr="00B616B3">
                        <w:rPr>
                          <w:rFonts w:ascii="Book Antiqua" w:hAnsi="Book Antiqua"/>
                          <w:sz w:val="20"/>
                          <w:szCs w:val="20"/>
                        </w:rPr>
                        <w:t xml:space="preserve">. Z tohto titulu sa očakávala úspora na výdavkoch Sociálnej poisťovne v roku 2008 v sume </w:t>
                      </w:r>
                      <w:r w:rsidRPr="00B616B3">
                        <w:rPr>
                          <w:rFonts w:ascii="Book Antiqua" w:hAnsi="Book Antiqua"/>
                          <w:b/>
                          <w:sz w:val="20"/>
                          <w:szCs w:val="20"/>
                        </w:rPr>
                        <w:t xml:space="preserve">cca 24,9 mil. eur </w:t>
                      </w:r>
                      <w:r w:rsidRPr="00B616B3">
                        <w:rPr>
                          <w:rFonts w:ascii="Book Antiqua" w:hAnsi="Book Antiqua"/>
                          <w:sz w:val="20"/>
                          <w:szCs w:val="20"/>
                        </w:rPr>
                        <w:t xml:space="preserve">(750 mil. SK). Naproti tomu v porovnaní s návrhom rozpočtu došlo len vplyvom novely k zvýšeniu výdavkov na PSD </w:t>
                      </w:r>
                      <w:r w:rsidRPr="00B616B3">
                        <w:rPr>
                          <w:rFonts w:ascii="Book Antiqua" w:hAnsi="Book Antiqua"/>
                          <w:b/>
                          <w:sz w:val="20"/>
                          <w:szCs w:val="20"/>
                        </w:rPr>
                        <w:t>o cca 58,6 mil. eur</w:t>
                      </w:r>
                      <w:r w:rsidRPr="00B616B3">
                        <w:rPr>
                          <w:rFonts w:ascii="Book Antiqua" w:hAnsi="Book Antiqua"/>
                          <w:sz w:val="20"/>
                          <w:szCs w:val="20"/>
                        </w:rPr>
                        <w:t xml:space="preserve"> (1 764 mil. SK) v roku 2008. Dôvodom bol vyšší počet novopriznaných predčasných starobných dôchodkov a značný príliv nových žiadosti podaných ešte </w:t>
                      </w:r>
                      <w:r w:rsidRPr="00B616B3">
                        <w:rPr>
                          <w:rFonts w:ascii="Book Antiqua" w:hAnsi="Book Antiqua"/>
                          <w:b/>
                          <w:i/>
                          <w:sz w:val="20"/>
                          <w:szCs w:val="20"/>
                        </w:rPr>
                        <w:t>pred účinnosťou sprísnenia podmienok nároku  na túto dávku</w:t>
                      </w:r>
                      <w:r w:rsidRPr="00B616B3">
                        <w:rPr>
                          <w:rFonts w:ascii="Book Antiqua" w:hAnsi="Book Antiqua"/>
                          <w:sz w:val="20"/>
                          <w:szCs w:val="20"/>
                        </w:rPr>
                        <w:t xml:space="preserve">.  </w:t>
                      </w:r>
                      <w:r w:rsidRPr="00B616B3">
                        <w:rPr>
                          <w:rFonts w:ascii="Book Antiqua" w:hAnsi="Book Antiqua"/>
                          <w:i/>
                          <w:sz w:val="20"/>
                          <w:szCs w:val="20"/>
                        </w:rPr>
                        <w:t xml:space="preserve">Celkové výdavky na PSD v roku 2008 boli vyššie ako rozpočtované </w:t>
                      </w:r>
                      <w:r w:rsidRPr="00B616B3">
                        <w:rPr>
                          <w:rFonts w:ascii="Book Antiqua" w:hAnsi="Book Antiqua"/>
                          <w:b/>
                          <w:i/>
                          <w:sz w:val="20"/>
                          <w:szCs w:val="20"/>
                        </w:rPr>
                        <w:t xml:space="preserve">o 72,1 mil. eur </w:t>
                      </w:r>
                      <w:r w:rsidRPr="00B616B3">
                        <w:rPr>
                          <w:rFonts w:ascii="Book Antiqua" w:hAnsi="Book Antiqua"/>
                          <w:sz w:val="20"/>
                          <w:szCs w:val="20"/>
                        </w:rPr>
                        <w:t>(2 171 mil. SK)</w:t>
                      </w:r>
                      <w:r w:rsidRPr="00B616B3">
                        <w:rPr>
                          <w:rFonts w:ascii="Book Antiqua" w:hAnsi="Book Antiqua"/>
                          <w:i/>
                          <w:sz w:val="20"/>
                          <w:szCs w:val="20"/>
                        </w:rPr>
                        <w:t xml:space="preserve">, </w:t>
                      </w:r>
                      <w:r w:rsidRPr="004467E2">
                        <w:rPr>
                          <w:rFonts w:ascii="Book Antiqua" w:hAnsi="Book Antiqua"/>
                          <w:i/>
                          <w:sz w:val="20"/>
                          <w:szCs w:val="20"/>
                        </w:rPr>
                        <w:t>pričom okrem novely sa na tom podieľalo aj vyššie počty novopriznaných oproti rozpočtovaným a vyššia priemerná suma novopriznaného PSD.</w:t>
                      </w:r>
                    </w:p>
                    <w:p w:rsidR="00057923" w:rsidRPr="00B616B3" w:rsidRDefault="00057923" w:rsidP="00057923">
                      <w:pPr>
                        <w:pStyle w:val="Default"/>
                        <w:spacing w:line="276" w:lineRule="auto"/>
                        <w:jc w:val="both"/>
                        <w:rPr>
                          <w:rFonts w:ascii="Book Antiqua" w:hAnsi="Book Antiqua"/>
                          <w:sz w:val="20"/>
                          <w:szCs w:val="20"/>
                        </w:rPr>
                      </w:pPr>
                      <w:r w:rsidRPr="00B616B3">
                        <w:rPr>
                          <w:rFonts w:ascii="Book Antiqua" w:hAnsi="Book Antiqua"/>
                          <w:sz w:val="20"/>
                          <w:szCs w:val="20"/>
                        </w:rPr>
                        <w:t xml:space="preserve">S účinnosťou od </w:t>
                      </w:r>
                      <w:r w:rsidRPr="00B616B3">
                        <w:rPr>
                          <w:rFonts w:ascii="Book Antiqua" w:hAnsi="Book Antiqua"/>
                          <w:b/>
                          <w:sz w:val="20"/>
                          <w:szCs w:val="20"/>
                        </w:rPr>
                        <w:t>1. januára 2011</w:t>
                      </w:r>
                      <w:r w:rsidRPr="00B616B3">
                        <w:rPr>
                          <w:rFonts w:ascii="Book Antiqua" w:hAnsi="Book Antiqua"/>
                          <w:sz w:val="20"/>
                          <w:szCs w:val="20"/>
                        </w:rPr>
                        <w:t xml:space="preserve"> sa zaviedol princíp PSD alebo zárobok (s určitým prechodným obdobím do 28. februára 2011 pre PSD priznané pred účinnosťou zmeny). Z tohto titulu sa očakávala úspora na výdavkoch Sociálnej poisťovne v roku 2011 v sume </w:t>
                      </w:r>
                      <w:r w:rsidRPr="00B616B3">
                        <w:rPr>
                          <w:rFonts w:ascii="Book Antiqua" w:hAnsi="Book Antiqua"/>
                          <w:b/>
                          <w:sz w:val="20"/>
                          <w:szCs w:val="20"/>
                        </w:rPr>
                        <w:t>cca 55,9 mil. eur</w:t>
                      </w:r>
                      <w:r w:rsidRPr="00B616B3">
                        <w:rPr>
                          <w:rFonts w:ascii="Book Antiqua" w:hAnsi="Book Antiqua"/>
                          <w:sz w:val="20"/>
                          <w:szCs w:val="20"/>
                        </w:rPr>
                        <w:t xml:space="preserve">. Skutočný vplyv novely by na základe dostupných údajov predstavoval v roku 2011 úsporu cca </w:t>
                      </w:r>
                      <w:r w:rsidRPr="00B616B3">
                        <w:rPr>
                          <w:rFonts w:ascii="Book Antiqua" w:hAnsi="Book Antiqua"/>
                          <w:b/>
                          <w:sz w:val="20"/>
                          <w:szCs w:val="20"/>
                        </w:rPr>
                        <w:t>62 mil. eur,</w:t>
                      </w:r>
                      <w:r w:rsidRPr="00B616B3">
                        <w:rPr>
                          <w:rFonts w:ascii="Book Antiqua" w:hAnsi="Book Antiqua"/>
                          <w:sz w:val="20"/>
                          <w:szCs w:val="20"/>
                        </w:rPr>
                        <w:t xml:space="preserve"> takže pôvodný odhad bol iba mierne podhodnotený. </w:t>
                      </w:r>
                      <w:r w:rsidRPr="00B616B3">
                        <w:rPr>
                          <w:rFonts w:ascii="Book Antiqua" w:hAnsi="Book Antiqua"/>
                          <w:i/>
                          <w:color w:val="auto"/>
                          <w:sz w:val="20"/>
                          <w:szCs w:val="20"/>
                        </w:rPr>
                        <w:t xml:space="preserve">Celkové výdavky na PSD v roku 2011 boli nižšie ako rozpočtované </w:t>
                      </w:r>
                      <w:r w:rsidRPr="00B616B3">
                        <w:rPr>
                          <w:rFonts w:ascii="Book Antiqua" w:hAnsi="Book Antiqua"/>
                          <w:b/>
                          <w:i/>
                          <w:color w:val="auto"/>
                          <w:sz w:val="20"/>
                          <w:szCs w:val="20"/>
                        </w:rPr>
                        <w:t>o 117,1 mil. eur</w:t>
                      </w:r>
                      <w:r w:rsidRPr="00B616B3">
                        <w:rPr>
                          <w:rFonts w:ascii="Book Antiqua" w:hAnsi="Book Antiqua"/>
                          <w:i/>
                          <w:color w:val="auto"/>
                          <w:sz w:val="20"/>
                          <w:szCs w:val="20"/>
                        </w:rPr>
                        <w:t>, pričom okrem novely sa na tom podieľali aj nižšie počty novopriznaných oproti rozpočtovaným, nižšia priemerná suma novopriznaného PSD a vyšší presun PSD do SD ako sa očakávalo.</w:t>
                      </w:r>
                    </w:p>
                    <w:p w:rsidR="00057923" w:rsidRPr="00B616B3" w:rsidRDefault="00057923" w:rsidP="00057923">
                      <w:pPr>
                        <w:pStyle w:val="Default"/>
                        <w:spacing w:line="276" w:lineRule="auto"/>
                        <w:jc w:val="both"/>
                        <w:rPr>
                          <w:i/>
                          <w:sz w:val="21"/>
                          <w:szCs w:val="21"/>
                        </w:rPr>
                      </w:pPr>
                    </w:p>
                    <w:p w:rsidR="00057923" w:rsidRPr="00B616B3" w:rsidRDefault="00057923" w:rsidP="00057923">
                      <w:pPr>
                        <w:jc w:val="both"/>
                        <w:rPr>
                          <w:rFonts w:ascii="Garamond" w:hAnsi="Garamond"/>
                          <w:b/>
                        </w:rPr>
                      </w:pPr>
                      <w:r w:rsidRPr="00B616B3">
                        <w:rPr>
                          <w:rFonts w:ascii="Garamond" w:hAnsi="Garamond"/>
                          <w:b/>
                        </w:rPr>
                        <w:t>Všetky implementované zmeny sprísnenia PSD okrem vecných cieľov sledovali aj cieľ znižovania výdavkov, ktorý sa mal prejaviť okamžite v zlepšenej bilancii Sociálnej poisťovne. Predpoklady pritom v niektorých prípadoch počítali aj s určitou snahou osôb „mať priznaný“ PSD za miernejších podmienok (</w:t>
                      </w:r>
                      <w:r>
                        <w:rPr>
                          <w:rFonts w:ascii="Garamond" w:hAnsi="Garamond"/>
                          <w:b/>
                        </w:rPr>
                        <w:t>napr. doložka vplyvov k novele z</w:t>
                      </w:r>
                      <w:r w:rsidRPr="00B616B3">
                        <w:rPr>
                          <w:rFonts w:ascii="Garamond" w:hAnsi="Garamond"/>
                          <w:b/>
                        </w:rPr>
                        <w:t> roku 2007) – boli však podhodnotené. V rokoch 2006 a 2008 viedlo správanie poistencov k </w:t>
                      </w:r>
                      <w:r w:rsidRPr="00B616B3">
                        <w:rPr>
                          <w:rFonts w:ascii="Garamond" w:hAnsi="Garamond"/>
                          <w:b/>
                          <w:u w:val="single"/>
                        </w:rPr>
                        <w:t>„reverznému“</w:t>
                      </w:r>
                      <w:r w:rsidRPr="00B616B3">
                        <w:rPr>
                          <w:rFonts w:ascii="Garamond" w:hAnsi="Garamond"/>
                          <w:b/>
                        </w:rPr>
                        <w:t xml:space="preserve"> vývoju krátkodobých výdavkov, t. j. oproti predpokladom úspory došlo okamžite po spustení implementácie k zvýšeniu výdavko</w:t>
                      </w:r>
                      <w:r>
                        <w:rPr>
                          <w:rFonts w:ascii="Garamond" w:hAnsi="Garamond"/>
                          <w:b/>
                        </w:rPr>
                        <w:t>v. Štatistické údaje vyššie tiež</w:t>
                      </w:r>
                      <w:r w:rsidRPr="00B616B3">
                        <w:rPr>
                          <w:rFonts w:ascii="Garamond" w:hAnsi="Garamond"/>
                          <w:b/>
                        </w:rPr>
                        <w:t xml:space="preserve"> potvrdzujú pozitívny vplyv zmien v dlhodobom horizonte (okrem sprísnenia podmienok má nepochybne vplyv aj zlepšujúca sa situácia na trhu práce, ktorá sa prejavuje aj vo vyššej zamestnanosti starších).</w:t>
                      </w:r>
                    </w:p>
                    <w:p w:rsidR="00057923" w:rsidRPr="004A6548" w:rsidRDefault="00057923" w:rsidP="00057923">
                      <w:pPr>
                        <w:jc w:val="both"/>
                        <w:rPr>
                          <w:rFonts w:ascii="Garamond" w:hAnsi="Garamond"/>
                          <w:i/>
                        </w:rPr>
                      </w:pPr>
                      <w:r w:rsidRPr="00B616B3">
                        <w:rPr>
                          <w:rFonts w:ascii="Garamond" w:hAnsi="Garamond"/>
                          <w:i/>
                        </w:rPr>
                        <w:t>*Nakoľko sa rozpočet Sociálnej poisťovne záväzne zostavuje iba na najbližší rok (n + 1) a ďalšie roky sú následne prispôsobované priebežnej skutočnosti v aktuálnom roku (n) nemá veľký význam porovnávanie predpokladov v doložkách s vývojom rokov (n+2) a (n+3).</w:t>
                      </w:r>
                      <w:r>
                        <w:rPr>
                          <w:rFonts w:ascii="Garamond" w:hAnsi="Garamond"/>
                          <w:i/>
                        </w:rPr>
                        <w:t xml:space="preserve"> </w:t>
                      </w:r>
                      <w:r w:rsidRPr="004A6548">
                        <w:rPr>
                          <w:rFonts w:ascii="Garamond" w:hAnsi="Garamond"/>
                          <w:i/>
                        </w:rPr>
                        <w:t xml:space="preserve">   </w:t>
                      </w:r>
                    </w:p>
                    <w:p w:rsidR="00057923" w:rsidRPr="00071C1B" w:rsidRDefault="00057923" w:rsidP="00057923">
                      <w:pPr>
                        <w:jc w:val="both"/>
                        <w:rPr>
                          <w:rFonts w:ascii="Garamond" w:hAnsi="Garamond"/>
                          <w:b/>
                        </w:rPr>
                      </w:pPr>
                    </w:p>
                  </w:txbxContent>
                </v:textbox>
                <w10:anchorlock/>
              </v:shape>
            </w:pict>
          </mc:Fallback>
        </mc:AlternateContent>
      </w:r>
      <w:r w:rsidRPr="00057923">
        <w:rPr>
          <w:rFonts w:ascii="Book Antiqua" w:eastAsia="Times New Roman" w:hAnsi="Book Antiqua" w:cs="Times New Roman"/>
          <w:b/>
          <w:i/>
        </w:rPr>
        <w:lastRenderedPageBreak/>
        <w:t>2.2.1 Porovnanie postupného úbytku starobných dôchodcov a predčasných starobných dôchodcov, ktorým boli priznané dôchodky v období rokov 2004 až 2016</w:t>
      </w: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Dôležitým poznatkom v spojitosti s úpravami, ktoré sa týkajú skoršieho odchodu do dôchodku, je aj poznanie, aké skupiny obyvateľstva odchádzajú skôr z trhu práce a akú časť svojho života strávia na dôchodku? Je obdobie strávené na dôchodku v prípade predčasných starobných dôchodcov skutočne dlhšie ako obdobie, ktoré strávia na dôchodku tzv. rýdzo starobní dôchodcovia? Odpovede na tieto otázky sme sa pokúšali zodpovedať na základe údajov o zaniknutých dôchodkoch z dôvodu úmrtia v prípade predčasných starobných dôchodcov a starobných dôchodcoch. </w:t>
      </w: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Na základe individuálnych údajov o zaniknutých dôchodkoch od roku 2004, môžeme konštatovať, že podiel počtu zomrelých dôchodcov k 31. 12. 2017, ktorým boli priznané pôvodne predčasné starobné dôchodky je približne rovnaký – dokonca o niečo vyšší ako podiel počtu zomrelých dôchodcov, ktorým boli priznané pôvodne starobné dôchodky. Veľmi podobne </w:t>
      </w:r>
      <w:r w:rsidRPr="00057923">
        <w:rPr>
          <w:rFonts w:ascii="Book Antiqua" w:eastAsia="Times New Roman" w:hAnsi="Book Antiqua" w:cs="Times New Roman"/>
          <w:b/>
        </w:rPr>
        <w:t>sa vyvíjali aj priemerné obdobia, ktoré zomrelí dôchodcovia (starobní resp. predčasní starobní) strávili na dôchodku</w:t>
      </w:r>
      <w:r w:rsidRPr="00057923">
        <w:rPr>
          <w:rFonts w:ascii="Book Antiqua" w:eastAsia="Times New Roman" w:hAnsi="Book Antiqua" w:cs="Times New Roman"/>
        </w:rPr>
        <w:t xml:space="preserve">. To znamená, že napriek tomu, že napríklad predčasní starobní dôchodcovia (uvažujeme len zaniknuté výplaty), ktorí odišli do dôchodku v roku 2004, odišli do dôchodku v priemere o takmer 2 roky skôr ako starobní dôchodcovia, </w:t>
      </w:r>
      <w:r w:rsidRPr="00057923">
        <w:rPr>
          <w:rFonts w:ascii="Book Antiqua" w:eastAsia="Times New Roman" w:hAnsi="Book Antiqua" w:cs="Times New Roman"/>
          <w:b/>
        </w:rPr>
        <w:t xml:space="preserve">strávili na dôchodku v priemere rovnaké obdobie. </w:t>
      </w:r>
      <w:r w:rsidRPr="00057923">
        <w:rPr>
          <w:rFonts w:ascii="Book Antiqua" w:eastAsia="Times New Roman" w:hAnsi="Book Antiqua" w:cs="Times New Roman"/>
        </w:rPr>
        <w:t xml:space="preserve"> Na druhej strane je potrebné podotknúť, že na vyvodenie komplexnejších záverov týkajúcich sa porovnania úmrtnosti osôb odchádzajúcich do predčasného starobného dôchodku s osobami, ktoré odchádzajú do riadneho starobného dôchodku, by sme potrebovali analyzovať dlhšie časové obdobie, </w:t>
      </w:r>
      <w:r w:rsidRPr="00057923">
        <w:rPr>
          <w:rFonts w:ascii="Book Antiqua" w:eastAsia="Times New Roman" w:hAnsi="Book Antiqua" w:cs="Times New Roman"/>
          <w:b/>
        </w:rPr>
        <w:t>nakoľko úmrtnostné pomery sa môžu v čase zmeniť.</w:t>
      </w:r>
      <w:r w:rsidRPr="00057923">
        <w:rPr>
          <w:rFonts w:ascii="Book Antiqua" w:eastAsia="Times New Roman" w:hAnsi="Book Antiqua" w:cs="Times New Roman"/>
        </w:rPr>
        <w:t xml:space="preserve"> </w:t>
      </w:r>
      <w:r w:rsidRPr="00057923">
        <w:rPr>
          <w:rFonts w:ascii="Book Antiqua" w:eastAsia="Times New Roman" w:hAnsi="Book Antiqua" w:cs="Times New Roman"/>
          <w:b/>
          <w:i/>
        </w:rPr>
        <w:t>Z tohto dôvodu je potrebné predložené čísla interpretovať opatrne spolu so všetkými obmedzeniami, ktoré s nimi súvisia (krátke časové obdobie, rozdielna úmrtnosť žien a mužov a ich distribúcia v jednotlivých rokoch, legislatívne zmeny ovplyvňujúce odchod do dôchodku atď.).</w:t>
      </w:r>
      <w:r w:rsidRPr="00057923">
        <w:rPr>
          <w:rFonts w:ascii="Book Antiqua" w:eastAsia="Times New Roman" w:hAnsi="Book Antiqua" w:cs="Times New Roman"/>
        </w:rPr>
        <w:t xml:space="preserve"> </w:t>
      </w: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t>Tabuľka 6:</w:t>
      </w:r>
      <w:r w:rsidRPr="00057923">
        <w:rPr>
          <w:rFonts w:ascii="Book Antiqua" w:eastAsia="Times New Roman" w:hAnsi="Book Antiqua" w:cs="Times New Roman"/>
        </w:rPr>
        <w:t xml:space="preserve"> Porovnanie postupného prirodzeného úbytku osôb, ktorým bol priznaný starobný dôchodok a osôb, ktorým bol priznaný predčasný starobný dôchodok </w:t>
      </w:r>
    </w:p>
    <w:tbl>
      <w:tblPr>
        <w:tblW w:w="9157" w:type="dxa"/>
        <w:tblInd w:w="55" w:type="dxa"/>
        <w:tblCellMar>
          <w:left w:w="70" w:type="dxa"/>
          <w:right w:w="70" w:type="dxa"/>
        </w:tblCellMar>
        <w:tblLook w:val="04A0" w:firstRow="1" w:lastRow="0" w:firstColumn="1" w:lastColumn="0" w:noHBand="0" w:noVBand="1"/>
      </w:tblPr>
      <w:tblGrid>
        <w:gridCol w:w="857"/>
        <w:gridCol w:w="1285"/>
        <w:gridCol w:w="1391"/>
        <w:gridCol w:w="1319"/>
        <w:gridCol w:w="1341"/>
        <w:gridCol w:w="1645"/>
        <w:gridCol w:w="1319"/>
      </w:tblGrid>
      <w:tr w:rsidR="00057923" w:rsidRPr="00057923" w:rsidTr="00A62543">
        <w:trPr>
          <w:trHeight w:val="300"/>
        </w:trPr>
        <w:tc>
          <w:tcPr>
            <w:tcW w:w="857" w:type="dxa"/>
            <w:tcBorders>
              <w:top w:val="single" w:sz="8" w:space="0" w:color="auto"/>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 </w:t>
            </w:r>
          </w:p>
        </w:tc>
        <w:tc>
          <w:tcPr>
            <w:tcW w:w="3995" w:type="dxa"/>
            <w:gridSpan w:val="3"/>
            <w:tcBorders>
              <w:top w:val="single" w:sz="8"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Predčasné starobné dôchodky</w:t>
            </w:r>
          </w:p>
        </w:tc>
        <w:tc>
          <w:tcPr>
            <w:tcW w:w="4305" w:type="dxa"/>
            <w:gridSpan w:val="3"/>
            <w:tcBorders>
              <w:top w:val="single" w:sz="8" w:space="0" w:color="auto"/>
              <w:left w:val="nil"/>
              <w:bottom w:val="single" w:sz="4" w:space="0" w:color="auto"/>
              <w:right w:val="single" w:sz="8" w:space="0" w:color="000000"/>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Starobné dôchodky</w:t>
            </w:r>
          </w:p>
        </w:tc>
      </w:tr>
      <w:tr w:rsidR="00057923" w:rsidRPr="00057923" w:rsidTr="00A62543">
        <w:trPr>
          <w:trHeight w:val="315"/>
        </w:trPr>
        <w:tc>
          <w:tcPr>
            <w:tcW w:w="857" w:type="dxa"/>
            <w:tcBorders>
              <w:top w:val="nil"/>
              <w:left w:val="single" w:sz="8" w:space="0" w:color="auto"/>
              <w:bottom w:val="single" w:sz="8" w:space="0" w:color="auto"/>
              <w:right w:val="single" w:sz="4"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rok</w:t>
            </w:r>
          </w:p>
        </w:tc>
        <w:tc>
          <w:tcPr>
            <w:tcW w:w="1285" w:type="dxa"/>
            <w:tcBorders>
              <w:top w:val="nil"/>
              <w:left w:val="nil"/>
              <w:bottom w:val="single" w:sz="8"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Počet priznaných</w:t>
            </w:r>
          </w:p>
        </w:tc>
        <w:tc>
          <w:tcPr>
            <w:tcW w:w="1391" w:type="dxa"/>
            <w:tcBorders>
              <w:top w:val="nil"/>
              <w:left w:val="nil"/>
              <w:bottom w:val="single" w:sz="8"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Počet zomrelých, ktoré boli priznané v danom roku</w:t>
            </w:r>
          </w:p>
        </w:tc>
        <w:tc>
          <w:tcPr>
            <w:tcW w:w="1319" w:type="dxa"/>
            <w:tcBorders>
              <w:top w:val="nil"/>
              <w:left w:val="nil"/>
              <w:bottom w:val="single" w:sz="8"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Počet zomrelých k 31. 12. 2017/počet priznaných</w:t>
            </w:r>
          </w:p>
        </w:tc>
        <w:tc>
          <w:tcPr>
            <w:tcW w:w="1341" w:type="dxa"/>
            <w:tcBorders>
              <w:top w:val="nil"/>
              <w:left w:val="nil"/>
              <w:bottom w:val="single" w:sz="8"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Počet priznaných</w:t>
            </w:r>
          </w:p>
        </w:tc>
        <w:tc>
          <w:tcPr>
            <w:tcW w:w="1645" w:type="dxa"/>
            <w:tcBorders>
              <w:top w:val="nil"/>
              <w:left w:val="nil"/>
              <w:bottom w:val="single" w:sz="8"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Počet zomrelých k 31. 12. 2017, ktoré boli priznané v danom roku</w:t>
            </w:r>
          </w:p>
        </w:tc>
        <w:tc>
          <w:tcPr>
            <w:tcW w:w="1319" w:type="dxa"/>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Počet zomrelých k 31. 12. 2017/počet priznaných</w:t>
            </w:r>
          </w:p>
        </w:tc>
      </w:tr>
      <w:tr w:rsidR="00057923" w:rsidRPr="00057923" w:rsidTr="00A62543">
        <w:trPr>
          <w:trHeight w:val="300"/>
        </w:trPr>
        <w:tc>
          <w:tcPr>
            <w:tcW w:w="857" w:type="dxa"/>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2004</w:t>
            </w:r>
          </w:p>
        </w:tc>
        <w:tc>
          <w:tcPr>
            <w:tcW w:w="128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17 674</w:t>
            </w:r>
          </w:p>
        </w:tc>
        <w:tc>
          <w:tcPr>
            <w:tcW w:w="139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5 353</w:t>
            </w:r>
          </w:p>
        </w:tc>
        <w:tc>
          <w:tcPr>
            <w:tcW w:w="1319"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30,3%</w:t>
            </w:r>
          </w:p>
        </w:tc>
        <w:tc>
          <w:tcPr>
            <w:tcW w:w="134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13 633</w:t>
            </w:r>
          </w:p>
        </w:tc>
        <w:tc>
          <w:tcPr>
            <w:tcW w:w="164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2 943</w:t>
            </w:r>
          </w:p>
        </w:tc>
        <w:tc>
          <w:tcPr>
            <w:tcW w:w="1319"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21,6%</w:t>
            </w:r>
          </w:p>
        </w:tc>
      </w:tr>
      <w:tr w:rsidR="00057923" w:rsidRPr="00057923" w:rsidTr="00A62543">
        <w:trPr>
          <w:trHeight w:val="300"/>
        </w:trPr>
        <w:tc>
          <w:tcPr>
            <w:tcW w:w="857" w:type="dxa"/>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2005</w:t>
            </w:r>
          </w:p>
        </w:tc>
        <w:tc>
          <w:tcPr>
            <w:tcW w:w="128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21 026</w:t>
            </w:r>
          </w:p>
        </w:tc>
        <w:tc>
          <w:tcPr>
            <w:tcW w:w="139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3 258</w:t>
            </w:r>
          </w:p>
        </w:tc>
        <w:tc>
          <w:tcPr>
            <w:tcW w:w="1319"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15,5%</w:t>
            </w:r>
          </w:p>
        </w:tc>
        <w:tc>
          <w:tcPr>
            <w:tcW w:w="134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28 698</w:t>
            </w:r>
          </w:p>
        </w:tc>
        <w:tc>
          <w:tcPr>
            <w:tcW w:w="164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4 649</w:t>
            </w:r>
          </w:p>
        </w:tc>
        <w:tc>
          <w:tcPr>
            <w:tcW w:w="1319"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16,2%</w:t>
            </w:r>
          </w:p>
        </w:tc>
      </w:tr>
      <w:tr w:rsidR="00057923" w:rsidRPr="00057923" w:rsidTr="00A62543">
        <w:trPr>
          <w:trHeight w:val="300"/>
        </w:trPr>
        <w:tc>
          <w:tcPr>
            <w:tcW w:w="857" w:type="dxa"/>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2006</w:t>
            </w:r>
          </w:p>
        </w:tc>
        <w:tc>
          <w:tcPr>
            <w:tcW w:w="128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37 824</w:t>
            </w:r>
          </w:p>
        </w:tc>
        <w:tc>
          <w:tcPr>
            <w:tcW w:w="139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4 900</w:t>
            </w:r>
          </w:p>
        </w:tc>
        <w:tc>
          <w:tcPr>
            <w:tcW w:w="1319"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13,0%</w:t>
            </w:r>
          </w:p>
        </w:tc>
        <w:tc>
          <w:tcPr>
            <w:tcW w:w="134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13 215</w:t>
            </w:r>
          </w:p>
        </w:tc>
        <w:tc>
          <w:tcPr>
            <w:tcW w:w="164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2 820</w:t>
            </w:r>
          </w:p>
        </w:tc>
        <w:tc>
          <w:tcPr>
            <w:tcW w:w="1319"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21,3%</w:t>
            </w:r>
          </w:p>
        </w:tc>
      </w:tr>
      <w:tr w:rsidR="00057923" w:rsidRPr="00057923" w:rsidTr="00A62543">
        <w:trPr>
          <w:trHeight w:val="300"/>
        </w:trPr>
        <w:tc>
          <w:tcPr>
            <w:tcW w:w="857" w:type="dxa"/>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2007</w:t>
            </w:r>
          </w:p>
        </w:tc>
        <w:tc>
          <w:tcPr>
            <w:tcW w:w="128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19 672</w:t>
            </w:r>
          </w:p>
        </w:tc>
        <w:tc>
          <w:tcPr>
            <w:tcW w:w="139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3 963</w:t>
            </w:r>
          </w:p>
        </w:tc>
        <w:tc>
          <w:tcPr>
            <w:tcW w:w="1319"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w:t>
            </w:r>
          </w:p>
        </w:tc>
        <w:tc>
          <w:tcPr>
            <w:tcW w:w="134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20 996</w:t>
            </w:r>
          </w:p>
        </w:tc>
        <w:tc>
          <w:tcPr>
            <w:tcW w:w="164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1 988</w:t>
            </w:r>
          </w:p>
        </w:tc>
        <w:tc>
          <w:tcPr>
            <w:tcW w:w="1319"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9,5%</w:t>
            </w:r>
          </w:p>
        </w:tc>
      </w:tr>
      <w:tr w:rsidR="00057923" w:rsidRPr="00057923" w:rsidTr="00A62543">
        <w:trPr>
          <w:trHeight w:val="300"/>
        </w:trPr>
        <w:tc>
          <w:tcPr>
            <w:tcW w:w="857" w:type="dxa"/>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2008</w:t>
            </w:r>
          </w:p>
        </w:tc>
        <w:tc>
          <w:tcPr>
            <w:tcW w:w="128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30 850</w:t>
            </w:r>
          </w:p>
        </w:tc>
        <w:tc>
          <w:tcPr>
            <w:tcW w:w="139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2 040</w:t>
            </w:r>
          </w:p>
        </w:tc>
        <w:tc>
          <w:tcPr>
            <w:tcW w:w="1319"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6,6%</w:t>
            </w:r>
          </w:p>
        </w:tc>
        <w:tc>
          <w:tcPr>
            <w:tcW w:w="134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18 722</w:t>
            </w:r>
          </w:p>
        </w:tc>
        <w:tc>
          <w:tcPr>
            <w:tcW w:w="164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2 980</w:t>
            </w:r>
          </w:p>
        </w:tc>
        <w:tc>
          <w:tcPr>
            <w:tcW w:w="1319"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15,9%</w:t>
            </w:r>
          </w:p>
        </w:tc>
      </w:tr>
      <w:tr w:rsidR="00057923" w:rsidRPr="00057923" w:rsidTr="00A62543">
        <w:trPr>
          <w:trHeight w:val="300"/>
        </w:trPr>
        <w:tc>
          <w:tcPr>
            <w:tcW w:w="857" w:type="dxa"/>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2009</w:t>
            </w:r>
          </w:p>
        </w:tc>
        <w:tc>
          <w:tcPr>
            <w:tcW w:w="128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21 402</w:t>
            </w:r>
          </w:p>
        </w:tc>
        <w:tc>
          <w:tcPr>
            <w:tcW w:w="139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2 538</w:t>
            </w:r>
          </w:p>
        </w:tc>
        <w:tc>
          <w:tcPr>
            <w:tcW w:w="1319"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11,9%</w:t>
            </w:r>
          </w:p>
        </w:tc>
        <w:tc>
          <w:tcPr>
            <w:tcW w:w="134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17 477</w:t>
            </w:r>
          </w:p>
        </w:tc>
        <w:tc>
          <w:tcPr>
            <w:tcW w:w="164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2 412</w:t>
            </w:r>
          </w:p>
        </w:tc>
        <w:tc>
          <w:tcPr>
            <w:tcW w:w="1319"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13,8%</w:t>
            </w:r>
          </w:p>
        </w:tc>
      </w:tr>
      <w:tr w:rsidR="00057923" w:rsidRPr="00057923" w:rsidTr="00A62543">
        <w:trPr>
          <w:trHeight w:val="300"/>
        </w:trPr>
        <w:tc>
          <w:tcPr>
            <w:tcW w:w="857" w:type="dxa"/>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2010</w:t>
            </w:r>
          </w:p>
        </w:tc>
        <w:tc>
          <w:tcPr>
            <w:tcW w:w="128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30 274</w:t>
            </w:r>
          </w:p>
        </w:tc>
        <w:tc>
          <w:tcPr>
            <w:tcW w:w="139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2 290</w:t>
            </w:r>
          </w:p>
        </w:tc>
        <w:tc>
          <w:tcPr>
            <w:tcW w:w="1319"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7,6%</w:t>
            </w:r>
          </w:p>
        </w:tc>
        <w:tc>
          <w:tcPr>
            <w:tcW w:w="134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19 701</w:t>
            </w:r>
          </w:p>
        </w:tc>
        <w:tc>
          <w:tcPr>
            <w:tcW w:w="164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2 801</w:t>
            </w:r>
          </w:p>
        </w:tc>
        <w:tc>
          <w:tcPr>
            <w:tcW w:w="1319"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14,2%</w:t>
            </w:r>
          </w:p>
        </w:tc>
      </w:tr>
      <w:tr w:rsidR="00057923" w:rsidRPr="00057923" w:rsidTr="00A62543">
        <w:trPr>
          <w:trHeight w:val="300"/>
        </w:trPr>
        <w:tc>
          <w:tcPr>
            <w:tcW w:w="857" w:type="dxa"/>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2011</w:t>
            </w:r>
          </w:p>
        </w:tc>
        <w:tc>
          <w:tcPr>
            <w:tcW w:w="128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12 673</w:t>
            </w:r>
          </w:p>
        </w:tc>
        <w:tc>
          <w:tcPr>
            <w:tcW w:w="139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1 326</w:t>
            </w:r>
          </w:p>
        </w:tc>
        <w:tc>
          <w:tcPr>
            <w:tcW w:w="1319"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10,5%</w:t>
            </w:r>
          </w:p>
        </w:tc>
        <w:tc>
          <w:tcPr>
            <w:tcW w:w="134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13 555</w:t>
            </w:r>
          </w:p>
        </w:tc>
        <w:tc>
          <w:tcPr>
            <w:tcW w:w="164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1 687</w:t>
            </w:r>
          </w:p>
        </w:tc>
        <w:tc>
          <w:tcPr>
            <w:tcW w:w="1319"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12,4%</w:t>
            </w:r>
          </w:p>
        </w:tc>
      </w:tr>
      <w:tr w:rsidR="00057923" w:rsidRPr="00057923" w:rsidTr="00A62543">
        <w:trPr>
          <w:trHeight w:val="300"/>
        </w:trPr>
        <w:tc>
          <w:tcPr>
            <w:tcW w:w="857" w:type="dxa"/>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2012</w:t>
            </w:r>
          </w:p>
        </w:tc>
        <w:tc>
          <w:tcPr>
            <w:tcW w:w="128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16 088</w:t>
            </w:r>
          </w:p>
        </w:tc>
        <w:tc>
          <w:tcPr>
            <w:tcW w:w="139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1 397</w:t>
            </w:r>
          </w:p>
        </w:tc>
        <w:tc>
          <w:tcPr>
            <w:tcW w:w="1319"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8,7%</w:t>
            </w:r>
          </w:p>
        </w:tc>
        <w:tc>
          <w:tcPr>
            <w:tcW w:w="134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26 796</w:t>
            </w:r>
          </w:p>
        </w:tc>
        <w:tc>
          <w:tcPr>
            <w:tcW w:w="164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1 954</w:t>
            </w:r>
          </w:p>
        </w:tc>
        <w:tc>
          <w:tcPr>
            <w:tcW w:w="1319"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7,3%</w:t>
            </w:r>
          </w:p>
        </w:tc>
      </w:tr>
      <w:tr w:rsidR="00057923" w:rsidRPr="00057923" w:rsidTr="00A62543">
        <w:trPr>
          <w:trHeight w:val="300"/>
        </w:trPr>
        <w:tc>
          <w:tcPr>
            <w:tcW w:w="857" w:type="dxa"/>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lastRenderedPageBreak/>
              <w:t>2013</w:t>
            </w:r>
          </w:p>
        </w:tc>
        <w:tc>
          <w:tcPr>
            <w:tcW w:w="128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14 953</w:t>
            </w:r>
          </w:p>
        </w:tc>
        <w:tc>
          <w:tcPr>
            <w:tcW w:w="139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1 019</w:t>
            </w:r>
          </w:p>
        </w:tc>
        <w:tc>
          <w:tcPr>
            <w:tcW w:w="1319"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6,8%</w:t>
            </w:r>
          </w:p>
        </w:tc>
        <w:tc>
          <w:tcPr>
            <w:tcW w:w="134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22 833</w:t>
            </w:r>
          </w:p>
        </w:tc>
        <w:tc>
          <w:tcPr>
            <w:tcW w:w="164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1 585</w:t>
            </w:r>
          </w:p>
        </w:tc>
        <w:tc>
          <w:tcPr>
            <w:tcW w:w="1319"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6,9%</w:t>
            </w:r>
          </w:p>
        </w:tc>
      </w:tr>
      <w:tr w:rsidR="00057923" w:rsidRPr="00057923" w:rsidTr="00A62543">
        <w:trPr>
          <w:trHeight w:val="300"/>
        </w:trPr>
        <w:tc>
          <w:tcPr>
            <w:tcW w:w="857" w:type="dxa"/>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2014</w:t>
            </w:r>
          </w:p>
        </w:tc>
        <w:tc>
          <w:tcPr>
            <w:tcW w:w="128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15 587</w:t>
            </w:r>
          </w:p>
        </w:tc>
        <w:tc>
          <w:tcPr>
            <w:tcW w:w="139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746</w:t>
            </w:r>
          </w:p>
        </w:tc>
        <w:tc>
          <w:tcPr>
            <w:tcW w:w="1319"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4,8%</w:t>
            </w:r>
          </w:p>
        </w:tc>
        <w:tc>
          <w:tcPr>
            <w:tcW w:w="134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35 141</w:t>
            </w:r>
          </w:p>
        </w:tc>
        <w:tc>
          <w:tcPr>
            <w:tcW w:w="164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1 310</w:t>
            </w:r>
          </w:p>
        </w:tc>
        <w:tc>
          <w:tcPr>
            <w:tcW w:w="1319"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3,7%</w:t>
            </w:r>
          </w:p>
        </w:tc>
      </w:tr>
      <w:tr w:rsidR="00057923" w:rsidRPr="00057923" w:rsidTr="00A62543">
        <w:trPr>
          <w:trHeight w:val="300"/>
        </w:trPr>
        <w:tc>
          <w:tcPr>
            <w:tcW w:w="857" w:type="dxa"/>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2015</w:t>
            </w:r>
          </w:p>
        </w:tc>
        <w:tc>
          <w:tcPr>
            <w:tcW w:w="128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14 362</w:t>
            </w:r>
          </w:p>
        </w:tc>
        <w:tc>
          <w:tcPr>
            <w:tcW w:w="139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485</w:t>
            </w:r>
          </w:p>
        </w:tc>
        <w:tc>
          <w:tcPr>
            <w:tcW w:w="1319"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3,4%</w:t>
            </w:r>
          </w:p>
        </w:tc>
        <w:tc>
          <w:tcPr>
            <w:tcW w:w="134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31 039</w:t>
            </w:r>
          </w:p>
        </w:tc>
        <w:tc>
          <w:tcPr>
            <w:tcW w:w="164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1 017</w:t>
            </w:r>
          </w:p>
        </w:tc>
        <w:tc>
          <w:tcPr>
            <w:tcW w:w="1319"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3,3%</w:t>
            </w:r>
          </w:p>
        </w:tc>
      </w:tr>
      <w:tr w:rsidR="00057923" w:rsidRPr="00057923" w:rsidTr="00A62543">
        <w:trPr>
          <w:trHeight w:val="315"/>
        </w:trPr>
        <w:tc>
          <w:tcPr>
            <w:tcW w:w="857" w:type="dxa"/>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2016</w:t>
            </w:r>
          </w:p>
        </w:tc>
        <w:tc>
          <w:tcPr>
            <w:tcW w:w="128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15 306</w:t>
            </w:r>
          </w:p>
        </w:tc>
        <w:tc>
          <w:tcPr>
            <w:tcW w:w="139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313</w:t>
            </w:r>
          </w:p>
        </w:tc>
        <w:tc>
          <w:tcPr>
            <w:tcW w:w="1319"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w:t>
            </w:r>
          </w:p>
        </w:tc>
        <w:tc>
          <w:tcPr>
            <w:tcW w:w="1341"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35 315</w:t>
            </w:r>
          </w:p>
        </w:tc>
        <w:tc>
          <w:tcPr>
            <w:tcW w:w="1645"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517</w:t>
            </w:r>
          </w:p>
        </w:tc>
        <w:tc>
          <w:tcPr>
            <w:tcW w:w="1319" w:type="dxa"/>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1,5%</w:t>
            </w:r>
          </w:p>
        </w:tc>
      </w:tr>
      <w:tr w:rsidR="00057923" w:rsidRPr="00057923" w:rsidTr="00A62543">
        <w:trPr>
          <w:trHeight w:val="315"/>
        </w:trPr>
        <w:tc>
          <w:tcPr>
            <w:tcW w:w="857" w:type="dxa"/>
            <w:tcBorders>
              <w:top w:val="single" w:sz="4" w:space="0" w:color="auto"/>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b/>
                <w:i/>
                <w:color w:val="000000"/>
                <w:szCs w:val="20"/>
                <w:lang w:eastAsia="sk-SK"/>
              </w:rPr>
            </w:pPr>
            <w:r w:rsidRPr="00057923">
              <w:rPr>
                <w:rFonts w:ascii="Book Antiqua" w:eastAsia="Times New Roman" w:hAnsi="Book Antiqua" w:cs="Times New Roman"/>
                <w:b/>
                <w:i/>
                <w:color w:val="000000"/>
                <w:szCs w:val="20"/>
                <w:lang w:eastAsia="sk-SK"/>
              </w:rPr>
              <w:t>Spolu</w:t>
            </w:r>
          </w:p>
        </w:tc>
        <w:tc>
          <w:tcPr>
            <w:tcW w:w="1285" w:type="dxa"/>
            <w:tcBorders>
              <w:top w:val="single" w:sz="4" w:space="0" w:color="auto"/>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i/>
                <w:color w:val="000000"/>
                <w:szCs w:val="20"/>
                <w:lang w:eastAsia="sk-SK"/>
              </w:rPr>
            </w:pPr>
            <w:r w:rsidRPr="00057923">
              <w:rPr>
                <w:rFonts w:ascii="Book Antiqua" w:eastAsia="Times New Roman" w:hAnsi="Book Antiqua" w:cs="Times New Roman"/>
                <w:b/>
                <w:i/>
                <w:color w:val="000000"/>
                <w:szCs w:val="20"/>
                <w:lang w:eastAsia="sk-SK"/>
              </w:rPr>
              <w:t>267 691</w:t>
            </w:r>
          </w:p>
        </w:tc>
        <w:tc>
          <w:tcPr>
            <w:tcW w:w="1391" w:type="dxa"/>
            <w:tcBorders>
              <w:top w:val="single" w:sz="4" w:space="0" w:color="auto"/>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i/>
                <w:color w:val="000000"/>
                <w:szCs w:val="20"/>
                <w:lang w:eastAsia="sk-SK"/>
              </w:rPr>
            </w:pPr>
            <w:r w:rsidRPr="00057923">
              <w:rPr>
                <w:rFonts w:ascii="Book Antiqua" w:eastAsia="Times New Roman" w:hAnsi="Book Antiqua" w:cs="Times New Roman"/>
                <w:b/>
                <w:i/>
                <w:color w:val="000000"/>
                <w:szCs w:val="20"/>
                <w:lang w:eastAsia="sk-SK"/>
              </w:rPr>
              <w:t>29 628</w:t>
            </w:r>
          </w:p>
        </w:tc>
        <w:tc>
          <w:tcPr>
            <w:tcW w:w="1319" w:type="dxa"/>
            <w:tcBorders>
              <w:top w:val="single" w:sz="4" w:space="0" w:color="auto"/>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i/>
                <w:color w:val="FF0000"/>
                <w:szCs w:val="20"/>
                <w:lang w:eastAsia="sk-SK"/>
              </w:rPr>
            </w:pPr>
            <w:r w:rsidRPr="00057923">
              <w:rPr>
                <w:rFonts w:ascii="Book Antiqua" w:eastAsia="Times New Roman" w:hAnsi="Book Antiqua" w:cs="Times New Roman"/>
                <w:b/>
                <w:bCs/>
                <w:i/>
                <w:color w:val="FF0000"/>
                <w:szCs w:val="20"/>
                <w:lang w:eastAsia="sk-SK"/>
              </w:rPr>
              <w:t>11,1%</w:t>
            </w:r>
          </w:p>
        </w:tc>
        <w:tc>
          <w:tcPr>
            <w:tcW w:w="1341" w:type="dxa"/>
            <w:tcBorders>
              <w:top w:val="single" w:sz="4" w:space="0" w:color="auto"/>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i/>
                <w:color w:val="000000"/>
                <w:szCs w:val="20"/>
                <w:lang w:eastAsia="sk-SK"/>
              </w:rPr>
            </w:pPr>
            <w:r w:rsidRPr="00057923">
              <w:rPr>
                <w:rFonts w:ascii="Book Antiqua" w:eastAsia="Times New Roman" w:hAnsi="Book Antiqua" w:cs="Times New Roman"/>
                <w:b/>
                <w:i/>
                <w:szCs w:val="20"/>
                <w:lang w:eastAsia="sk-SK"/>
              </w:rPr>
              <w:t>297 121</w:t>
            </w:r>
          </w:p>
        </w:tc>
        <w:tc>
          <w:tcPr>
            <w:tcW w:w="1645" w:type="dxa"/>
            <w:tcBorders>
              <w:top w:val="single" w:sz="4" w:space="0" w:color="auto"/>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i/>
                <w:color w:val="000000"/>
                <w:szCs w:val="20"/>
                <w:lang w:eastAsia="sk-SK"/>
              </w:rPr>
            </w:pPr>
            <w:r w:rsidRPr="00057923">
              <w:rPr>
                <w:rFonts w:ascii="Book Antiqua" w:eastAsia="Times New Roman" w:hAnsi="Book Antiqua" w:cs="Times New Roman"/>
                <w:b/>
                <w:i/>
                <w:color w:val="000000"/>
                <w:szCs w:val="20"/>
                <w:lang w:eastAsia="sk-SK"/>
              </w:rPr>
              <w:t>28 663</w:t>
            </w:r>
          </w:p>
        </w:tc>
        <w:tc>
          <w:tcPr>
            <w:tcW w:w="1319" w:type="dxa"/>
            <w:tcBorders>
              <w:top w:val="single" w:sz="4" w:space="0" w:color="auto"/>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i/>
                <w:color w:val="FF0000"/>
                <w:szCs w:val="20"/>
                <w:lang w:eastAsia="sk-SK"/>
              </w:rPr>
            </w:pPr>
            <w:r w:rsidRPr="00057923">
              <w:rPr>
                <w:rFonts w:ascii="Book Antiqua" w:eastAsia="Times New Roman" w:hAnsi="Book Antiqua" w:cs="Times New Roman"/>
                <w:b/>
                <w:bCs/>
                <w:i/>
                <w:color w:val="FF0000"/>
                <w:szCs w:val="20"/>
                <w:lang w:eastAsia="sk-SK"/>
              </w:rPr>
              <w:t>9,6%</w:t>
            </w:r>
          </w:p>
        </w:tc>
      </w:tr>
    </w:tbl>
    <w:p w:rsidR="00057923" w:rsidRPr="00057923" w:rsidRDefault="00057923" w:rsidP="00057923">
      <w:pPr>
        <w:spacing w:after="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 xml:space="preserve">Zdroj: MPSVR SR na základe </w:t>
      </w:r>
      <w:proofErr w:type="spellStart"/>
      <w:r w:rsidRPr="00057923">
        <w:rPr>
          <w:rFonts w:ascii="Book Antiqua" w:eastAsia="Times New Roman" w:hAnsi="Book Antiqua" w:cs="Times New Roman"/>
          <w:i/>
          <w:sz w:val="20"/>
          <w:szCs w:val="20"/>
        </w:rPr>
        <w:t>mikroúdajov</w:t>
      </w:r>
      <w:proofErr w:type="spellEnd"/>
      <w:r w:rsidRPr="00057923">
        <w:rPr>
          <w:rFonts w:ascii="Book Antiqua" w:eastAsia="Times New Roman" w:hAnsi="Book Antiqua" w:cs="Times New Roman"/>
          <w:i/>
          <w:sz w:val="20"/>
          <w:szCs w:val="20"/>
        </w:rPr>
        <w:t xml:space="preserve"> od Sociálnej poisťovne</w:t>
      </w:r>
    </w:p>
    <w:p w:rsidR="00057923" w:rsidRPr="00057923" w:rsidRDefault="00057923" w:rsidP="00057923">
      <w:pPr>
        <w:spacing w:after="0" w:line="276" w:lineRule="auto"/>
        <w:jc w:val="both"/>
        <w:rPr>
          <w:rFonts w:ascii="Book Antiqua" w:eastAsia="Times New Roman" w:hAnsi="Book Antiqua" w:cs="Times New Roman"/>
          <w:b/>
          <w:i/>
        </w:rPr>
      </w:pPr>
    </w:p>
    <w:p w:rsidR="00057923" w:rsidRPr="00057923" w:rsidRDefault="00057923" w:rsidP="00057923">
      <w:pPr>
        <w:spacing w:after="0" w:line="276" w:lineRule="auto"/>
        <w:jc w:val="both"/>
        <w:rPr>
          <w:rFonts w:ascii="Book Antiqua" w:eastAsia="Times New Roman" w:hAnsi="Book Antiqua" w:cs="Times New Roman"/>
        </w:rPr>
      </w:pPr>
      <w:r w:rsidRPr="00057923">
        <w:rPr>
          <w:rFonts w:ascii="Book Antiqua" w:eastAsia="Times New Roman" w:hAnsi="Book Antiqua" w:cs="Times New Roman"/>
          <w:b/>
        </w:rPr>
        <w:t>Tabuľka 7:</w:t>
      </w:r>
      <w:r w:rsidRPr="00057923">
        <w:rPr>
          <w:rFonts w:ascii="Book Antiqua" w:eastAsia="Times New Roman" w:hAnsi="Book Antiqua" w:cs="Times New Roman"/>
        </w:rPr>
        <w:t xml:space="preserve"> Porovnanie priemerného počtu rokov stráveného na dôchodku u osôb, ktoré odišli do dôchodku v rokoch 2004 až 2016, ktorým bol priznaný predčasný starobný dôchodok resp. starobný dôchodok a ktorým už zanikla výplata dôchodku z dôvodu úmrtia</w:t>
      </w:r>
    </w:p>
    <w:tbl>
      <w:tblPr>
        <w:tblW w:w="5000" w:type="pct"/>
        <w:jc w:val="center"/>
        <w:tblCellMar>
          <w:left w:w="70" w:type="dxa"/>
          <w:right w:w="70" w:type="dxa"/>
        </w:tblCellMar>
        <w:tblLook w:val="04A0" w:firstRow="1" w:lastRow="0" w:firstColumn="1" w:lastColumn="0" w:noHBand="0" w:noVBand="1"/>
      </w:tblPr>
      <w:tblGrid>
        <w:gridCol w:w="741"/>
        <w:gridCol w:w="4248"/>
        <w:gridCol w:w="4061"/>
      </w:tblGrid>
      <w:tr w:rsidR="00057923" w:rsidRPr="00057923" w:rsidTr="00A62543">
        <w:trPr>
          <w:trHeight w:val="315"/>
          <w:jc w:val="center"/>
        </w:trPr>
        <w:tc>
          <w:tcPr>
            <w:tcW w:w="1233" w:type="pct"/>
            <w:tcBorders>
              <w:top w:val="single" w:sz="8" w:space="0" w:color="auto"/>
              <w:left w:val="single" w:sz="8" w:space="0" w:color="auto"/>
              <w:bottom w:val="single" w:sz="8" w:space="0" w:color="auto"/>
              <w:right w:val="single" w:sz="4" w:space="0" w:color="auto"/>
            </w:tcBorders>
            <w:noWrap/>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Odchod do dôchodku</w:t>
            </w:r>
          </w:p>
        </w:tc>
        <w:tc>
          <w:tcPr>
            <w:tcW w:w="1879" w:type="pct"/>
            <w:tcBorders>
              <w:top w:val="single" w:sz="8" w:space="0" w:color="auto"/>
              <w:left w:val="nil"/>
              <w:bottom w:val="single" w:sz="8" w:space="0" w:color="auto"/>
              <w:right w:val="single" w:sz="4" w:space="0" w:color="auto"/>
            </w:tcBorders>
            <w:noWrap/>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Priemerný počet rokov strávený na dôchodku poberateľov predčasného starobného dôchodku, ktorým zanikla výplata z dôvodu úmrtia do 31.12.2017</w:t>
            </w:r>
          </w:p>
        </w:tc>
        <w:tc>
          <w:tcPr>
            <w:tcW w:w="1888" w:type="pct"/>
            <w:tcBorders>
              <w:top w:val="single" w:sz="8" w:space="0" w:color="auto"/>
              <w:left w:val="nil"/>
              <w:bottom w:val="single" w:sz="8" w:space="0" w:color="auto"/>
              <w:right w:val="single" w:sz="8" w:space="0" w:color="auto"/>
            </w:tcBorders>
            <w:noWrap/>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Priemerný počet rokov strávený na dôchodku poberateľov rýdzo starobného dôchodku, ktorým zanikla výplata z dôvodu úmrtia do 31.12.2017</w:t>
            </w:r>
          </w:p>
        </w:tc>
      </w:tr>
      <w:tr w:rsidR="00057923" w:rsidRPr="00057923" w:rsidTr="00A62543">
        <w:trPr>
          <w:trHeight w:val="300"/>
          <w:jc w:val="center"/>
        </w:trPr>
        <w:tc>
          <w:tcPr>
            <w:tcW w:w="1233"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2004</w:t>
            </w:r>
          </w:p>
        </w:tc>
        <w:tc>
          <w:tcPr>
            <w:tcW w:w="1879"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7,72</w:t>
            </w:r>
          </w:p>
        </w:tc>
        <w:tc>
          <w:tcPr>
            <w:tcW w:w="1888" w:type="pct"/>
            <w:tcBorders>
              <w:top w:val="nil"/>
              <w:left w:val="nil"/>
              <w:bottom w:val="single" w:sz="4" w:space="0" w:color="auto"/>
              <w:right w:val="single" w:sz="8"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7,98</w:t>
            </w:r>
          </w:p>
        </w:tc>
      </w:tr>
      <w:tr w:rsidR="00057923" w:rsidRPr="00057923" w:rsidTr="00A62543">
        <w:trPr>
          <w:trHeight w:val="300"/>
          <w:jc w:val="center"/>
        </w:trPr>
        <w:tc>
          <w:tcPr>
            <w:tcW w:w="1233"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2005</w:t>
            </w:r>
          </w:p>
        </w:tc>
        <w:tc>
          <w:tcPr>
            <w:tcW w:w="1879"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7,19</w:t>
            </w:r>
          </w:p>
        </w:tc>
        <w:tc>
          <w:tcPr>
            <w:tcW w:w="1888" w:type="pct"/>
            <w:tcBorders>
              <w:top w:val="nil"/>
              <w:left w:val="nil"/>
              <w:bottom w:val="single" w:sz="4" w:space="0" w:color="auto"/>
              <w:right w:val="single" w:sz="8"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7,14</w:t>
            </w:r>
          </w:p>
        </w:tc>
      </w:tr>
      <w:tr w:rsidR="00057923" w:rsidRPr="00057923" w:rsidTr="00A62543">
        <w:trPr>
          <w:trHeight w:val="300"/>
          <w:jc w:val="center"/>
        </w:trPr>
        <w:tc>
          <w:tcPr>
            <w:tcW w:w="1233"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2006</w:t>
            </w:r>
          </w:p>
        </w:tc>
        <w:tc>
          <w:tcPr>
            <w:tcW w:w="1879"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6,54</w:t>
            </w:r>
          </w:p>
        </w:tc>
        <w:tc>
          <w:tcPr>
            <w:tcW w:w="1888" w:type="pct"/>
            <w:tcBorders>
              <w:top w:val="nil"/>
              <w:left w:val="nil"/>
              <w:bottom w:val="single" w:sz="4" w:space="0" w:color="auto"/>
              <w:right w:val="single" w:sz="8"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6,35</w:t>
            </w:r>
          </w:p>
        </w:tc>
      </w:tr>
      <w:tr w:rsidR="00057923" w:rsidRPr="00057923" w:rsidTr="00A62543">
        <w:trPr>
          <w:trHeight w:val="300"/>
          <w:jc w:val="center"/>
        </w:trPr>
        <w:tc>
          <w:tcPr>
            <w:tcW w:w="1233"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2007</w:t>
            </w:r>
          </w:p>
        </w:tc>
        <w:tc>
          <w:tcPr>
            <w:tcW w:w="1879"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5,97</w:t>
            </w:r>
          </w:p>
        </w:tc>
        <w:tc>
          <w:tcPr>
            <w:tcW w:w="1888" w:type="pct"/>
            <w:tcBorders>
              <w:top w:val="nil"/>
              <w:left w:val="nil"/>
              <w:bottom w:val="single" w:sz="4" w:space="0" w:color="auto"/>
              <w:right w:val="single" w:sz="8"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5,95</w:t>
            </w:r>
          </w:p>
        </w:tc>
      </w:tr>
      <w:tr w:rsidR="00057923" w:rsidRPr="00057923" w:rsidTr="00A62543">
        <w:trPr>
          <w:trHeight w:val="300"/>
          <w:jc w:val="center"/>
        </w:trPr>
        <w:tc>
          <w:tcPr>
            <w:tcW w:w="1233"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2008</w:t>
            </w:r>
          </w:p>
        </w:tc>
        <w:tc>
          <w:tcPr>
            <w:tcW w:w="1879"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5,52</w:t>
            </w:r>
          </w:p>
        </w:tc>
        <w:tc>
          <w:tcPr>
            <w:tcW w:w="1888" w:type="pct"/>
            <w:tcBorders>
              <w:top w:val="nil"/>
              <w:left w:val="nil"/>
              <w:bottom w:val="single" w:sz="4" w:space="0" w:color="auto"/>
              <w:right w:val="single" w:sz="8"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5,38</w:t>
            </w:r>
          </w:p>
        </w:tc>
      </w:tr>
      <w:tr w:rsidR="00057923" w:rsidRPr="00057923" w:rsidTr="00A62543">
        <w:trPr>
          <w:trHeight w:val="300"/>
          <w:jc w:val="center"/>
        </w:trPr>
        <w:tc>
          <w:tcPr>
            <w:tcW w:w="1233"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2009</w:t>
            </w:r>
          </w:p>
        </w:tc>
        <w:tc>
          <w:tcPr>
            <w:tcW w:w="1879"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4,86</w:t>
            </w:r>
          </w:p>
        </w:tc>
        <w:tc>
          <w:tcPr>
            <w:tcW w:w="1888" w:type="pct"/>
            <w:tcBorders>
              <w:top w:val="nil"/>
              <w:left w:val="nil"/>
              <w:bottom w:val="single" w:sz="4" w:space="0" w:color="auto"/>
              <w:right w:val="single" w:sz="8"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4,80</w:t>
            </w:r>
          </w:p>
        </w:tc>
      </w:tr>
      <w:tr w:rsidR="00057923" w:rsidRPr="00057923" w:rsidTr="00A62543">
        <w:trPr>
          <w:trHeight w:val="300"/>
          <w:jc w:val="center"/>
        </w:trPr>
        <w:tc>
          <w:tcPr>
            <w:tcW w:w="1233"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2010</w:t>
            </w:r>
          </w:p>
        </w:tc>
        <w:tc>
          <w:tcPr>
            <w:tcW w:w="1879"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4,34</w:t>
            </w:r>
          </w:p>
        </w:tc>
        <w:tc>
          <w:tcPr>
            <w:tcW w:w="1888" w:type="pct"/>
            <w:tcBorders>
              <w:top w:val="nil"/>
              <w:left w:val="nil"/>
              <w:bottom w:val="single" w:sz="4" w:space="0" w:color="auto"/>
              <w:right w:val="single" w:sz="8"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4,37</w:t>
            </w:r>
          </w:p>
        </w:tc>
      </w:tr>
      <w:tr w:rsidR="00057923" w:rsidRPr="00057923" w:rsidTr="00A62543">
        <w:trPr>
          <w:trHeight w:val="300"/>
          <w:jc w:val="center"/>
        </w:trPr>
        <w:tc>
          <w:tcPr>
            <w:tcW w:w="1233"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2011</w:t>
            </w:r>
          </w:p>
        </w:tc>
        <w:tc>
          <w:tcPr>
            <w:tcW w:w="1879"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3,62</w:t>
            </w:r>
          </w:p>
        </w:tc>
        <w:tc>
          <w:tcPr>
            <w:tcW w:w="1888" w:type="pct"/>
            <w:tcBorders>
              <w:top w:val="nil"/>
              <w:left w:val="nil"/>
              <w:bottom w:val="single" w:sz="4" w:space="0" w:color="auto"/>
              <w:right w:val="single" w:sz="8"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3,80</w:t>
            </w:r>
          </w:p>
        </w:tc>
      </w:tr>
      <w:tr w:rsidR="00057923" w:rsidRPr="00057923" w:rsidTr="00A62543">
        <w:trPr>
          <w:trHeight w:val="300"/>
          <w:jc w:val="center"/>
        </w:trPr>
        <w:tc>
          <w:tcPr>
            <w:tcW w:w="1233"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2012</w:t>
            </w:r>
          </w:p>
        </w:tc>
        <w:tc>
          <w:tcPr>
            <w:tcW w:w="1879"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3,05</w:t>
            </w:r>
          </w:p>
        </w:tc>
        <w:tc>
          <w:tcPr>
            <w:tcW w:w="1888" w:type="pct"/>
            <w:tcBorders>
              <w:top w:val="nil"/>
              <w:left w:val="nil"/>
              <w:bottom w:val="single" w:sz="4" w:space="0" w:color="auto"/>
              <w:right w:val="single" w:sz="8"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3,16</w:t>
            </w:r>
          </w:p>
        </w:tc>
      </w:tr>
      <w:tr w:rsidR="00057923" w:rsidRPr="00057923" w:rsidTr="00A62543">
        <w:trPr>
          <w:trHeight w:val="300"/>
          <w:jc w:val="center"/>
        </w:trPr>
        <w:tc>
          <w:tcPr>
            <w:tcW w:w="1233"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2013</w:t>
            </w:r>
          </w:p>
        </w:tc>
        <w:tc>
          <w:tcPr>
            <w:tcW w:w="1879"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2,48</w:t>
            </w:r>
          </w:p>
        </w:tc>
        <w:tc>
          <w:tcPr>
            <w:tcW w:w="1888" w:type="pct"/>
            <w:tcBorders>
              <w:top w:val="nil"/>
              <w:left w:val="nil"/>
              <w:bottom w:val="single" w:sz="4" w:space="0" w:color="auto"/>
              <w:right w:val="single" w:sz="8"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2,62</w:t>
            </w:r>
          </w:p>
        </w:tc>
      </w:tr>
      <w:tr w:rsidR="00057923" w:rsidRPr="00057923" w:rsidTr="00A62543">
        <w:trPr>
          <w:trHeight w:val="300"/>
          <w:jc w:val="center"/>
        </w:trPr>
        <w:tc>
          <w:tcPr>
            <w:tcW w:w="1233"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2014</w:t>
            </w:r>
          </w:p>
        </w:tc>
        <w:tc>
          <w:tcPr>
            <w:tcW w:w="1879"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1,98</w:t>
            </w:r>
          </w:p>
        </w:tc>
        <w:tc>
          <w:tcPr>
            <w:tcW w:w="1888" w:type="pct"/>
            <w:tcBorders>
              <w:top w:val="nil"/>
              <w:left w:val="nil"/>
              <w:bottom w:val="single" w:sz="4" w:space="0" w:color="auto"/>
              <w:right w:val="single" w:sz="8"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1,99</w:t>
            </w:r>
          </w:p>
        </w:tc>
      </w:tr>
      <w:tr w:rsidR="00057923" w:rsidRPr="00057923" w:rsidTr="00A62543">
        <w:trPr>
          <w:trHeight w:val="315"/>
          <w:jc w:val="center"/>
        </w:trPr>
        <w:tc>
          <w:tcPr>
            <w:tcW w:w="1233"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2015</w:t>
            </w:r>
          </w:p>
        </w:tc>
        <w:tc>
          <w:tcPr>
            <w:tcW w:w="1879"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1,38</w:t>
            </w:r>
          </w:p>
        </w:tc>
        <w:tc>
          <w:tcPr>
            <w:tcW w:w="1888" w:type="pct"/>
            <w:tcBorders>
              <w:top w:val="nil"/>
              <w:left w:val="nil"/>
              <w:bottom w:val="single" w:sz="4" w:space="0" w:color="auto"/>
              <w:right w:val="single" w:sz="8"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1,51</w:t>
            </w:r>
          </w:p>
        </w:tc>
      </w:tr>
      <w:tr w:rsidR="00057923" w:rsidRPr="00057923" w:rsidTr="00A62543">
        <w:trPr>
          <w:trHeight w:val="315"/>
          <w:jc w:val="center"/>
        </w:trPr>
        <w:tc>
          <w:tcPr>
            <w:tcW w:w="1233" w:type="pct"/>
            <w:tcBorders>
              <w:top w:val="nil"/>
              <w:left w:val="single" w:sz="8" w:space="0" w:color="auto"/>
              <w:bottom w:val="single" w:sz="8"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2016</w:t>
            </w:r>
          </w:p>
        </w:tc>
        <w:tc>
          <w:tcPr>
            <w:tcW w:w="1879" w:type="pct"/>
            <w:tcBorders>
              <w:top w:val="nil"/>
              <w:left w:val="nil"/>
              <w:bottom w:val="single" w:sz="8"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0,93</w:t>
            </w:r>
          </w:p>
        </w:tc>
        <w:tc>
          <w:tcPr>
            <w:tcW w:w="1888" w:type="pct"/>
            <w:tcBorders>
              <w:top w:val="nil"/>
              <w:left w:val="nil"/>
              <w:bottom w:val="single" w:sz="8" w:space="0" w:color="auto"/>
              <w:right w:val="single" w:sz="8"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0,91</w:t>
            </w:r>
          </w:p>
        </w:tc>
      </w:tr>
    </w:tbl>
    <w:p w:rsidR="00057923" w:rsidRPr="00057923" w:rsidRDefault="00057923" w:rsidP="00057923">
      <w:pPr>
        <w:spacing w:after="0" w:line="276" w:lineRule="auto"/>
        <w:jc w:val="both"/>
        <w:rPr>
          <w:rFonts w:ascii="Book Antiqua" w:eastAsia="Times New Roman" w:hAnsi="Book Antiqua" w:cs="Times New Roman"/>
          <w:b/>
          <w:i/>
        </w:rPr>
      </w:pPr>
      <w:r w:rsidRPr="00057923">
        <w:rPr>
          <w:rFonts w:ascii="Book Antiqua" w:eastAsia="Times New Roman" w:hAnsi="Book Antiqua" w:cs="Times New Roman"/>
          <w:i/>
          <w:sz w:val="20"/>
          <w:szCs w:val="20"/>
        </w:rPr>
        <w:t xml:space="preserve">  Zdroj: MPSVR SR na základe </w:t>
      </w:r>
      <w:proofErr w:type="spellStart"/>
      <w:r w:rsidRPr="00057923">
        <w:rPr>
          <w:rFonts w:ascii="Book Antiqua" w:eastAsia="Times New Roman" w:hAnsi="Book Antiqua" w:cs="Times New Roman"/>
          <w:i/>
          <w:sz w:val="20"/>
          <w:szCs w:val="20"/>
        </w:rPr>
        <w:t>mikroúdajov</w:t>
      </w:r>
      <w:proofErr w:type="spellEnd"/>
      <w:r w:rsidRPr="00057923">
        <w:rPr>
          <w:rFonts w:ascii="Book Antiqua" w:eastAsia="Times New Roman" w:hAnsi="Book Antiqua" w:cs="Times New Roman"/>
          <w:i/>
          <w:sz w:val="20"/>
          <w:szCs w:val="20"/>
        </w:rPr>
        <w:t xml:space="preserve"> od Sociálnej poisťovne</w:t>
      </w:r>
    </w:p>
    <w:p w:rsidR="00057923" w:rsidRPr="00057923" w:rsidRDefault="00057923" w:rsidP="00057923">
      <w:pPr>
        <w:spacing w:after="0" w:line="276" w:lineRule="auto"/>
        <w:jc w:val="both"/>
        <w:rPr>
          <w:rFonts w:ascii="Book Antiqua" w:eastAsia="Times New Roman" w:hAnsi="Book Antiqua" w:cs="Times New Roman"/>
          <w:b/>
          <w:i/>
        </w:rPr>
      </w:pPr>
    </w:p>
    <w:p w:rsidR="00057923" w:rsidRPr="00057923" w:rsidRDefault="00057923" w:rsidP="00057923">
      <w:pPr>
        <w:spacing w:after="0" w:line="276" w:lineRule="auto"/>
        <w:jc w:val="both"/>
        <w:rPr>
          <w:rFonts w:ascii="Book Antiqua" w:eastAsia="Times New Roman" w:hAnsi="Book Antiqua" w:cs="Times New Roman"/>
        </w:rPr>
      </w:pPr>
      <w:r w:rsidRPr="00057923">
        <w:rPr>
          <w:rFonts w:ascii="Book Antiqua" w:eastAsia="Times New Roman" w:hAnsi="Book Antiqua" w:cs="Times New Roman"/>
          <w:b/>
        </w:rPr>
        <w:t>Graf 11:</w:t>
      </w:r>
      <w:r w:rsidRPr="00057923">
        <w:rPr>
          <w:rFonts w:ascii="Book Antiqua" w:eastAsia="Times New Roman" w:hAnsi="Book Antiqua" w:cs="Times New Roman"/>
        </w:rPr>
        <w:t xml:space="preserve"> Porovnanie priemerného veku odchodu do dôchodku u zomrelých poberateľov predčasného starobného dôchodku a starobného dôchodku</w:t>
      </w:r>
    </w:p>
    <w:p w:rsidR="00057923" w:rsidRPr="00057923" w:rsidRDefault="00057923" w:rsidP="00057923">
      <w:pPr>
        <w:spacing w:after="0" w:line="276" w:lineRule="auto"/>
        <w:jc w:val="both"/>
        <w:rPr>
          <w:rFonts w:ascii="Book Antiqua" w:eastAsia="Times New Roman" w:hAnsi="Book Antiqua" w:cs="Times New Roman"/>
          <w:b/>
          <w:i/>
        </w:rPr>
      </w:pPr>
      <w:r w:rsidRPr="00057923">
        <w:rPr>
          <w:rFonts w:eastAsia="Times New Roman" w:cs="Times New Roman"/>
          <w:noProof/>
          <w:lang w:eastAsia="sk-SK"/>
        </w:rPr>
        <w:drawing>
          <wp:inline distT="0" distB="0" distL="0" distR="0">
            <wp:extent cx="5758180" cy="2484755"/>
            <wp:effectExtent l="0" t="0" r="13970" b="10795"/>
            <wp:docPr id="6"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57923" w:rsidRPr="00057923" w:rsidRDefault="00057923" w:rsidP="00057923">
      <w:pPr>
        <w:spacing w:after="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Zdroj: MPSVR SR</w:t>
      </w:r>
    </w:p>
    <w:p w:rsidR="00057923" w:rsidRPr="00057923" w:rsidRDefault="00057923" w:rsidP="00057923">
      <w:pPr>
        <w:spacing w:after="0" w:line="276" w:lineRule="auto"/>
        <w:jc w:val="both"/>
        <w:rPr>
          <w:rFonts w:ascii="Book Antiqua" w:eastAsia="Times New Roman" w:hAnsi="Book Antiqua" w:cs="Times New Roman"/>
          <w:b/>
          <w:i/>
        </w:rPr>
      </w:pPr>
    </w:p>
    <w:p w:rsidR="00057923" w:rsidRPr="00057923" w:rsidRDefault="00057923" w:rsidP="00057923">
      <w:pPr>
        <w:spacing w:after="0" w:line="276" w:lineRule="auto"/>
        <w:jc w:val="both"/>
        <w:rPr>
          <w:rFonts w:ascii="Book Antiqua" w:eastAsia="Times New Roman" w:hAnsi="Book Antiqua" w:cs="Times New Roman"/>
          <w:b/>
          <w:i/>
        </w:rPr>
      </w:pPr>
      <w:r w:rsidRPr="00057923">
        <w:rPr>
          <w:rFonts w:ascii="Book Antiqua" w:eastAsia="Times New Roman" w:hAnsi="Book Antiqua" w:cs="Times New Roman"/>
        </w:rPr>
        <w:lastRenderedPageBreak/>
        <w:t xml:space="preserve">Výrazné zvýšenie priemerného veku odchodu do dôchodku poberateľov rýdzo starobného dôchodku v roku 2006 </w:t>
      </w:r>
      <w:proofErr w:type="spellStart"/>
      <w:r w:rsidRPr="00057923">
        <w:rPr>
          <w:rFonts w:ascii="Book Antiqua" w:eastAsia="Times New Roman" w:hAnsi="Book Antiqua" w:cs="Times New Roman"/>
        </w:rPr>
        <w:t>suvísí</w:t>
      </w:r>
      <w:proofErr w:type="spellEnd"/>
      <w:r w:rsidRPr="00057923">
        <w:rPr>
          <w:rFonts w:ascii="Book Antiqua" w:eastAsia="Times New Roman" w:hAnsi="Book Antiqua" w:cs="Times New Roman"/>
        </w:rPr>
        <w:t xml:space="preserve"> s legislatívnou zmenou (možnosť získania starobného dôchodku bez potreby získania najmenej jedného roka zamestnania).</w:t>
      </w: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2.2.2 Porovnanie ďalších kľúčových parametrov slúžiacich na výpočet dôchodku</w:t>
      </w:r>
    </w:p>
    <w:p w:rsidR="00057923" w:rsidRPr="00057923" w:rsidRDefault="00057923" w:rsidP="00057923">
      <w:pPr>
        <w:spacing w:after="200" w:line="276" w:lineRule="auto"/>
        <w:ind w:firstLine="708"/>
        <w:jc w:val="both"/>
        <w:rPr>
          <w:rFonts w:ascii="Book Antiqua" w:eastAsia="Times New Roman" w:hAnsi="Book Antiqua" w:cs="Times New Roman"/>
          <w:b/>
        </w:rPr>
      </w:pPr>
      <w:r w:rsidRPr="00057923">
        <w:rPr>
          <w:rFonts w:ascii="Book Antiqua" w:eastAsia="Times New Roman" w:hAnsi="Book Antiqua" w:cs="Times New Roman"/>
        </w:rPr>
        <w:t>Z porovnania priemerných období dôchodkového poistenia pri odchode do starobného a predčasného starobného dôchodku vyplýva, že ženy odchádzajúce do predčasného starobného dôchodku, získavali v priemere v období rokov 2004 až 2016 vyššie alebo rovnaké obdobie dôchodkového poistenia ako ženy, ktoré odchádzali do „normálneho“ starobného dôchodku. Rovnaký trend môžeme pozorovať aj u mužov a to v období rokov 2006 až 2011.</w:t>
      </w:r>
    </w:p>
    <w:p w:rsidR="00057923" w:rsidRPr="00057923" w:rsidRDefault="00057923" w:rsidP="00057923">
      <w:pPr>
        <w:spacing w:after="0" w:line="276" w:lineRule="auto"/>
        <w:jc w:val="both"/>
        <w:rPr>
          <w:rFonts w:ascii="Book Antiqua" w:eastAsia="Times New Roman" w:hAnsi="Book Antiqua" w:cs="Times New Roman"/>
        </w:rPr>
      </w:pPr>
      <w:r w:rsidRPr="00057923">
        <w:rPr>
          <w:rFonts w:ascii="Book Antiqua" w:eastAsia="Times New Roman" w:hAnsi="Book Antiqua" w:cs="Times New Roman"/>
          <w:b/>
        </w:rPr>
        <w:t>Graf 12:</w:t>
      </w:r>
      <w:r w:rsidRPr="00057923">
        <w:rPr>
          <w:rFonts w:ascii="Book Antiqua" w:eastAsia="Times New Roman" w:hAnsi="Book Antiqua" w:cs="Times New Roman"/>
        </w:rPr>
        <w:t xml:space="preserve"> Priemerné obdobie dôchodkového poistenia novopriznaných starobných dôchodkov a novopriznaných predčasných starobných dôchodkov:</w:t>
      </w:r>
    </w:p>
    <w:p w:rsidR="00057923" w:rsidRPr="00057923" w:rsidRDefault="00057923" w:rsidP="00057923">
      <w:pPr>
        <w:spacing w:after="200" w:line="276" w:lineRule="auto"/>
        <w:jc w:val="both"/>
        <w:rPr>
          <w:rFonts w:ascii="Book Antiqua" w:eastAsia="Times New Roman" w:hAnsi="Book Antiqua" w:cs="Times New Roman"/>
          <w:i/>
        </w:rPr>
      </w:pPr>
      <w:r w:rsidRPr="00057923">
        <w:rPr>
          <w:rFonts w:ascii="Book Antiqua" w:eastAsia="Times New Roman" w:hAnsi="Book Antiqua" w:cs="Times New Roman"/>
          <w:noProof/>
          <w:lang w:eastAsia="sk-SK"/>
        </w:rPr>
        <w:drawing>
          <wp:inline distT="0" distB="0" distL="0" distR="0">
            <wp:extent cx="2867025" cy="2199640"/>
            <wp:effectExtent l="0" t="0" r="0" b="0"/>
            <wp:docPr id="5"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57923">
        <w:rPr>
          <w:rFonts w:ascii="Book Antiqua" w:eastAsia="Times New Roman" w:hAnsi="Book Antiqua" w:cs="Times New Roman"/>
          <w:noProof/>
          <w:lang w:eastAsia="sk-SK"/>
        </w:rPr>
        <w:drawing>
          <wp:inline distT="0" distB="0" distL="0" distR="0">
            <wp:extent cx="2828925" cy="2286000"/>
            <wp:effectExtent l="0" t="0" r="0" b="0"/>
            <wp:docPr id="4"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57923" w:rsidRPr="00057923" w:rsidRDefault="00057923" w:rsidP="00057923">
      <w:pPr>
        <w:spacing w:after="200" w:line="276" w:lineRule="auto"/>
        <w:jc w:val="both"/>
        <w:rPr>
          <w:rFonts w:ascii="Book Antiqua" w:eastAsia="Times New Roman" w:hAnsi="Book Antiqua" w:cs="Times New Roman"/>
          <w:i/>
          <w:sz w:val="20"/>
          <w:szCs w:val="20"/>
        </w:rPr>
      </w:pPr>
      <w:proofErr w:type="spellStart"/>
      <w:r w:rsidRPr="00057923">
        <w:rPr>
          <w:rFonts w:ascii="Book Antiqua" w:eastAsia="Times New Roman" w:hAnsi="Book Antiqua" w:cs="Times New Roman"/>
          <w:i/>
          <w:sz w:val="20"/>
          <w:szCs w:val="20"/>
        </w:rPr>
        <w:t>Zdroj:MPSVR</w:t>
      </w:r>
      <w:proofErr w:type="spellEnd"/>
      <w:r w:rsidRPr="00057923">
        <w:rPr>
          <w:rFonts w:ascii="Book Antiqua" w:eastAsia="Times New Roman" w:hAnsi="Book Antiqua" w:cs="Times New Roman"/>
          <w:i/>
          <w:sz w:val="20"/>
          <w:szCs w:val="20"/>
        </w:rPr>
        <w:t xml:space="preserve"> SR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V prípade žien s výnimkou roka 2004 platí, že do predčasného starobného dôchodku odchádzali ženy, ktoré počas svojej kariéry dosahovali vyššie zárobky ako ženy, ktoré odchádzali do starobného dôchodku.  V posledných rokoch je úroveň priemerných osobných mzdových bodov tak u mužov ako aj žien, v prípade novopriznaných predčasných starobných dôchodkov porovnateľná s priemernými osobnými mzdovými bodmi mužov a žien, odchádzajúcich do starobného dôchodku.</w:t>
      </w:r>
    </w:p>
    <w:p w:rsidR="00057923" w:rsidRPr="00057923" w:rsidRDefault="00057923" w:rsidP="00057923">
      <w:pPr>
        <w:spacing w:after="200" w:line="276" w:lineRule="auto"/>
        <w:ind w:firstLine="708"/>
        <w:jc w:val="both"/>
        <w:rPr>
          <w:rFonts w:ascii="Book Antiqua" w:eastAsia="Times New Roman" w:hAnsi="Book Antiqua" w:cs="Times New Roman"/>
        </w:rPr>
      </w:pPr>
    </w:p>
    <w:p w:rsidR="00057923" w:rsidRPr="00057923" w:rsidRDefault="00057923" w:rsidP="00057923">
      <w:pPr>
        <w:spacing w:after="200" w:line="276" w:lineRule="auto"/>
        <w:ind w:firstLine="708"/>
        <w:jc w:val="both"/>
        <w:rPr>
          <w:rFonts w:ascii="Book Antiqua" w:eastAsia="Times New Roman" w:hAnsi="Book Antiqua" w:cs="Times New Roman"/>
        </w:rPr>
      </w:pPr>
    </w:p>
    <w:p w:rsidR="00057923" w:rsidRPr="00057923" w:rsidRDefault="00057923" w:rsidP="00057923">
      <w:pPr>
        <w:spacing w:after="200" w:line="276" w:lineRule="auto"/>
        <w:ind w:firstLine="708"/>
        <w:jc w:val="both"/>
        <w:rPr>
          <w:rFonts w:ascii="Book Antiqua" w:eastAsia="Times New Roman" w:hAnsi="Book Antiqua" w:cs="Times New Roman"/>
          <w:i/>
        </w:rPr>
      </w:pPr>
    </w:p>
    <w:p w:rsidR="00057923" w:rsidRPr="00057923" w:rsidRDefault="00057923" w:rsidP="00057923">
      <w:pPr>
        <w:spacing w:after="200" w:line="276" w:lineRule="auto"/>
        <w:ind w:firstLine="708"/>
        <w:jc w:val="both"/>
        <w:rPr>
          <w:rFonts w:ascii="Book Antiqua" w:eastAsia="Times New Roman" w:hAnsi="Book Antiqua" w:cs="Times New Roman"/>
          <w:i/>
        </w:rPr>
      </w:pPr>
    </w:p>
    <w:p w:rsidR="00057923" w:rsidRPr="00057923" w:rsidRDefault="00057923" w:rsidP="00057923">
      <w:pPr>
        <w:spacing w:after="0" w:line="276" w:lineRule="auto"/>
        <w:jc w:val="both"/>
        <w:rPr>
          <w:rFonts w:ascii="Book Antiqua" w:eastAsia="Times New Roman" w:hAnsi="Book Antiqua" w:cs="Times New Roman"/>
        </w:rPr>
      </w:pPr>
      <w:r w:rsidRPr="00057923">
        <w:rPr>
          <w:rFonts w:ascii="Book Antiqua" w:eastAsia="Times New Roman" w:hAnsi="Book Antiqua" w:cs="Times New Roman"/>
          <w:b/>
        </w:rPr>
        <w:lastRenderedPageBreak/>
        <w:t>Graf 13:</w:t>
      </w:r>
      <w:r w:rsidRPr="00057923">
        <w:rPr>
          <w:rFonts w:ascii="Book Antiqua" w:eastAsia="Times New Roman" w:hAnsi="Book Antiqua" w:cs="Times New Roman"/>
        </w:rPr>
        <w:t xml:space="preserve"> Hodnoty neupraveného priemerného osobného mzdového bodu v prípade novopriznaných starobných a novopriznaných predčasných starobných dôchodcov podľa pohlavia</w:t>
      </w:r>
    </w:p>
    <w:p w:rsidR="00057923" w:rsidRPr="00057923" w:rsidRDefault="00057923" w:rsidP="00057923">
      <w:pPr>
        <w:spacing w:after="200" w:line="276" w:lineRule="auto"/>
        <w:jc w:val="both"/>
        <w:rPr>
          <w:rFonts w:ascii="Book Antiqua" w:eastAsia="Times New Roman" w:hAnsi="Book Antiqua" w:cs="Times New Roman"/>
          <w:i/>
        </w:rPr>
      </w:pPr>
      <w:r w:rsidRPr="00057923">
        <w:rPr>
          <w:rFonts w:ascii="Book Antiqua" w:eastAsia="Times New Roman" w:hAnsi="Book Antiqua" w:cs="Times New Roman"/>
          <w:noProof/>
          <w:lang w:eastAsia="sk-SK"/>
        </w:rPr>
        <w:drawing>
          <wp:inline distT="0" distB="0" distL="0" distR="0">
            <wp:extent cx="2809240" cy="1987550"/>
            <wp:effectExtent l="0" t="0" r="0" b="0"/>
            <wp:docPr id="3"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57923">
        <w:rPr>
          <w:rFonts w:ascii="Book Antiqua" w:eastAsia="Times New Roman" w:hAnsi="Book Antiqua" w:cs="Times New Roman"/>
          <w:noProof/>
          <w:lang w:eastAsia="sk-SK"/>
        </w:rPr>
        <w:drawing>
          <wp:inline distT="0" distB="0" distL="0" distR="0">
            <wp:extent cx="2667000" cy="1951355"/>
            <wp:effectExtent l="0" t="0" r="0" b="0"/>
            <wp:docPr id="2"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57923" w:rsidRPr="00057923" w:rsidRDefault="00057923" w:rsidP="00057923">
      <w:pPr>
        <w:spacing w:after="20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Zdroj: MPSVR SR</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Ďalším z dôležitých faktorov, ktorý síce priamo nesúvisí s výpočtom dôchodku je aj miera využívania dávky v nezamestnanosti v preddôchodkovom veku. V prípade odchodu do predčasného starobného dôchodku </w:t>
      </w:r>
      <w:r w:rsidRPr="00057923">
        <w:rPr>
          <w:rFonts w:ascii="Book Antiqua" w:eastAsia="Times New Roman" w:hAnsi="Book Antiqua" w:cs="Times New Roman"/>
          <w:b/>
        </w:rPr>
        <w:t>si dôchodcovia prostredníctvom poberania dávky v nezamestnanosti dokážu znížiť krátenie dôchodku max. o 3 p. b.</w:t>
      </w:r>
      <w:r w:rsidRPr="00057923">
        <w:rPr>
          <w:rFonts w:ascii="Book Antiqua" w:eastAsia="Times New Roman" w:hAnsi="Book Antiqua" w:cs="Times New Roman"/>
        </w:rPr>
        <w:t xml:space="preserve"> Nasledujúca tabuľka poskytuje prehľad počtu poberateľov dávky v nezamestnanosti v členení podľa veku.</w:t>
      </w: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t>Tabuľka 8:</w:t>
      </w:r>
      <w:r w:rsidRPr="00057923">
        <w:rPr>
          <w:rFonts w:ascii="Book Antiqua" w:eastAsia="Times New Roman" w:hAnsi="Book Antiqua" w:cs="Times New Roman"/>
        </w:rPr>
        <w:t xml:space="preserve"> Počet poberateľov dávky v nezamestnanosti podľa veku</w:t>
      </w:r>
    </w:p>
    <w:tbl>
      <w:tblPr>
        <w:tblW w:w="9229" w:type="dxa"/>
        <w:tblInd w:w="55" w:type="dxa"/>
        <w:tblCellMar>
          <w:left w:w="70" w:type="dxa"/>
          <w:right w:w="70" w:type="dxa"/>
        </w:tblCellMar>
        <w:tblLook w:val="04A0" w:firstRow="1" w:lastRow="0" w:firstColumn="1" w:lastColumn="0" w:noHBand="0" w:noVBand="1"/>
      </w:tblPr>
      <w:tblGrid>
        <w:gridCol w:w="1575"/>
        <w:gridCol w:w="992"/>
        <w:gridCol w:w="1134"/>
        <w:gridCol w:w="1134"/>
        <w:gridCol w:w="1134"/>
        <w:gridCol w:w="992"/>
        <w:gridCol w:w="1134"/>
        <w:gridCol w:w="1134"/>
      </w:tblGrid>
      <w:tr w:rsidR="00057923" w:rsidRPr="00057923" w:rsidTr="00A62543">
        <w:trPr>
          <w:trHeight w:val="509"/>
        </w:trPr>
        <w:tc>
          <w:tcPr>
            <w:tcW w:w="1575"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57923" w:rsidRPr="00057923" w:rsidRDefault="00057923" w:rsidP="00057923">
            <w:pPr>
              <w:spacing w:after="0" w:line="240" w:lineRule="auto"/>
              <w:jc w:val="both"/>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 xml:space="preserve">Vekové pásma/rok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2011</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2012</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2013</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2014</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2015</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2016</w:t>
            </w:r>
          </w:p>
        </w:tc>
      </w:tr>
      <w:tr w:rsidR="00057923" w:rsidRPr="00057923" w:rsidTr="00A62543">
        <w:trPr>
          <w:trHeight w:val="509"/>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Times New Roman"/>
                <w:b/>
                <w:bCs/>
                <w:color w:val="FFFFFF"/>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Times New Roman"/>
                <w:b/>
                <w:bCs/>
                <w:color w:val="FFFFFF"/>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Times New Roman"/>
                <w:b/>
                <w:bCs/>
                <w:color w:val="FFFFFF"/>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Times New Roman"/>
                <w:b/>
                <w:bCs/>
                <w:color w:val="FFFFFF"/>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Times New Roman"/>
                <w:b/>
                <w:bCs/>
                <w:color w:val="FFFFFF"/>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Times New Roman"/>
                <w:b/>
                <w:bCs/>
                <w:color w:val="FFFFFF"/>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Times New Roman"/>
                <w:b/>
                <w:bCs/>
                <w:color w:val="FFFFFF"/>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Times New Roman"/>
                <w:b/>
                <w:bCs/>
                <w:color w:val="FFFFFF"/>
                <w:sz w:val="20"/>
                <w:szCs w:val="20"/>
                <w:lang w:eastAsia="sk-SK"/>
              </w:rPr>
            </w:pPr>
          </w:p>
        </w:tc>
      </w:tr>
      <w:tr w:rsidR="00057923" w:rsidRPr="00057923" w:rsidTr="00A62543">
        <w:trPr>
          <w:trHeight w:val="510"/>
        </w:trPr>
        <w:tc>
          <w:tcPr>
            <w:tcW w:w="1575" w:type="dxa"/>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40" w:lineRule="auto"/>
              <w:jc w:val="both"/>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do 19 rokov</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8</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8</w:t>
            </w:r>
          </w:p>
        </w:tc>
      </w:tr>
      <w:tr w:rsidR="00057923" w:rsidRPr="00057923" w:rsidTr="00A62543">
        <w:trPr>
          <w:trHeight w:val="510"/>
        </w:trPr>
        <w:tc>
          <w:tcPr>
            <w:tcW w:w="1575" w:type="dxa"/>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40" w:lineRule="auto"/>
              <w:jc w:val="both"/>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 – 24 rokov</w:t>
            </w:r>
          </w:p>
        </w:tc>
        <w:tc>
          <w:tcPr>
            <w:tcW w:w="992"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7 111</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8 999</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8 219</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7 660</w:t>
            </w:r>
          </w:p>
        </w:tc>
        <w:tc>
          <w:tcPr>
            <w:tcW w:w="992"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6 897</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7 002</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7 568</w:t>
            </w:r>
          </w:p>
        </w:tc>
      </w:tr>
      <w:tr w:rsidR="00057923" w:rsidRPr="00057923" w:rsidTr="00A62543">
        <w:trPr>
          <w:trHeight w:val="510"/>
        </w:trPr>
        <w:tc>
          <w:tcPr>
            <w:tcW w:w="1575" w:type="dxa"/>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40" w:lineRule="auto"/>
              <w:jc w:val="both"/>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 – 29 rokov</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20 597</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20 475</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20 312</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19 767</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18 270</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18 222</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19 149</w:t>
            </w:r>
          </w:p>
        </w:tc>
      </w:tr>
      <w:tr w:rsidR="00057923" w:rsidRPr="00057923" w:rsidTr="00A62543">
        <w:trPr>
          <w:trHeight w:val="510"/>
        </w:trPr>
        <w:tc>
          <w:tcPr>
            <w:tcW w:w="1575" w:type="dxa"/>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40" w:lineRule="auto"/>
              <w:jc w:val="both"/>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30 – 34 rokov</w:t>
            </w:r>
          </w:p>
        </w:tc>
        <w:tc>
          <w:tcPr>
            <w:tcW w:w="992"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22 236</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21 834</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21 833</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20 875</w:t>
            </w:r>
          </w:p>
        </w:tc>
        <w:tc>
          <w:tcPr>
            <w:tcW w:w="992"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18 806</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19 179</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19 718</w:t>
            </w:r>
          </w:p>
        </w:tc>
      </w:tr>
      <w:tr w:rsidR="00057923" w:rsidRPr="00057923" w:rsidTr="00A62543">
        <w:trPr>
          <w:trHeight w:val="510"/>
        </w:trPr>
        <w:tc>
          <w:tcPr>
            <w:tcW w:w="1575" w:type="dxa"/>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40" w:lineRule="auto"/>
              <w:jc w:val="both"/>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35 – 39 rokov</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20 721</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20 031</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21 343</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20 343</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18 536</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18 449</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18 644</w:t>
            </w:r>
          </w:p>
        </w:tc>
      </w:tr>
      <w:tr w:rsidR="00057923" w:rsidRPr="00057923" w:rsidTr="00A62543">
        <w:trPr>
          <w:trHeight w:val="510"/>
        </w:trPr>
        <w:tc>
          <w:tcPr>
            <w:tcW w:w="1575" w:type="dxa"/>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40" w:lineRule="auto"/>
              <w:jc w:val="both"/>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40 – 44 rokov</w:t>
            </w:r>
          </w:p>
        </w:tc>
        <w:tc>
          <w:tcPr>
            <w:tcW w:w="992"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19 360</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17 289</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17 337</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16 733</w:t>
            </w:r>
          </w:p>
        </w:tc>
        <w:tc>
          <w:tcPr>
            <w:tcW w:w="992"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15 195</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15 182</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16 166</w:t>
            </w:r>
          </w:p>
        </w:tc>
      </w:tr>
      <w:tr w:rsidR="00057923" w:rsidRPr="00057923" w:rsidTr="00A62543">
        <w:trPr>
          <w:trHeight w:val="510"/>
        </w:trPr>
        <w:tc>
          <w:tcPr>
            <w:tcW w:w="1575" w:type="dxa"/>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40" w:lineRule="auto"/>
              <w:jc w:val="both"/>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 – 49 rokov</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21 432</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18 626</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17 941</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16 431</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13 364</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12 637</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12 765</w:t>
            </w:r>
          </w:p>
        </w:tc>
      </w:tr>
      <w:tr w:rsidR="00057923" w:rsidRPr="00057923" w:rsidTr="00A62543">
        <w:trPr>
          <w:trHeight w:val="510"/>
        </w:trPr>
        <w:tc>
          <w:tcPr>
            <w:tcW w:w="1575" w:type="dxa"/>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40" w:lineRule="auto"/>
              <w:jc w:val="both"/>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 – 54 rokov</w:t>
            </w:r>
          </w:p>
        </w:tc>
        <w:tc>
          <w:tcPr>
            <w:tcW w:w="992"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22 383</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19 273</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18 300</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16 595</w:t>
            </w:r>
          </w:p>
        </w:tc>
        <w:tc>
          <w:tcPr>
            <w:tcW w:w="992"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13 873</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12 851</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12 645</w:t>
            </w:r>
          </w:p>
        </w:tc>
      </w:tr>
      <w:tr w:rsidR="00057923" w:rsidRPr="00057923" w:rsidTr="00A62543">
        <w:trPr>
          <w:trHeight w:val="510"/>
        </w:trPr>
        <w:tc>
          <w:tcPr>
            <w:tcW w:w="1575" w:type="dxa"/>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40" w:lineRule="auto"/>
              <w:jc w:val="both"/>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55 – 59 rokov</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333333"/>
                <w:sz w:val="20"/>
                <w:szCs w:val="20"/>
                <w:lang w:eastAsia="sk-SK"/>
              </w:rPr>
            </w:pPr>
            <w:r w:rsidRPr="00057923">
              <w:rPr>
                <w:rFonts w:ascii="Book Antiqua" w:eastAsia="Times New Roman" w:hAnsi="Book Antiqua" w:cs="Times New Roman"/>
                <w:b/>
                <w:color w:val="333333"/>
                <w:sz w:val="20"/>
                <w:szCs w:val="20"/>
                <w:lang w:eastAsia="sk-SK"/>
              </w:rPr>
              <w:t>15 297</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14 921</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16 083</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16 206</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13 946</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13 392</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333333"/>
                <w:sz w:val="20"/>
                <w:szCs w:val="20"/>
                <w:lang w:eastAsia="sk-SK"/>
              </w:rPr>
            </w:pPr>
            <w:r w:rsidRPr="00057923">
              <w:rPr>
                <w:rFonts w:ascii="Book Antiqua" w:eastAsia="Times New Roman" w:hAnsi="Book Antiqua" w:cs="Times New Roman"/>
                <w:b/>
                <w:color w:val="333333"/>
                <w:sz w:val="20"/>
                <w:szCs w:val="20"/>
                <w:lang w:eastAsia="sk-SK"/>
              </w:rPr>
              <w:t>12 788</w:t>
            </w:r>
          </w:p>
        </w:tc>
      </w:tr>
      <w:tr w:rsidR="00057923" w:rsidRPr="00057923" w:rsidTr="00A62543">
        <w:trPr>
          <w:trHeight w:val="510"/>
        </w:trPr>
        <w:tc>
          <w:tcPr>
            <w:tcW w:w="1575" w:type="dxa"/>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40" w:lineRule="auto"/>
              <w:jc w:val="both"/>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nad 60 rokov</w:t>
            </w:r>
          </w:p>
        </w:tc>
        <w:tc>
          <w:tcPr>
            <w:tcW w:w="992"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333333"/>
                <w:sz w:val="20"/>
                <w:szCs w:val="20"/>
                <w:lang w:eastAsia="sk-SK"/>
              </w:rPr>
            </w:pPr>
            <w:r w:rsidRPr="00057923">
              <w:rPr>
                <w:rFonts w:ascii="Book Antiqua" w:eastAsia="Times New Roman" w:hAnsi="Book Antiqua" w:cs="Times New Roman"/>
                <w:b/>
                <w:color w:val="333333"/>
                <w:sz w:val="20"/>
                <w:szCs w:val="20"/>
                <w:lang w:eastAsia="sk-SK"/>
              </w:rPr>
              <w:t>883</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1 295</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2 433</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3 133</w:t>
            </w:r>
          </w:p>
        </w:tc>
        <w:tc>
          <w:tcPr>
            <w:tcW w:w="992"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3 213</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3 653</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b/>
                <w:color w:val="333333"/>
                <w:sz w:val="20"/>
                <w:szCs w:val="20"/>
                <w:lang w:eastAsia="sk-SK"/>
              </w:rPr>
            </w:pPr>
            <w:r w:rsidRPr="00057923">
              <w:rPr>
                <w:rFonts w:ascii="Book Antiqua" w:eastAsia="Times New Roman" w:hAnsi="Book Antiqua" w:cs="Times New Roman"/>
                <w:b/>
                <w:color w:val="333333"/>
                <w:sz w:val="20"/>
                <w:szCs w:val="20"/>
                <w:lang w:eastAsia="sk-SK"/>
              </w:rPr>
              <w:t>4 386</w:t>
            </w:r>
          </w:p>
        </w:tc>
      </w:tr>
      <w:tr w:rsidR="00057923" w:rsidRPr="00057923" w:rsidTr="00A62543">
        <w:trPr>
          <w:trHeight w:val="300"/>
        </w:trPr>
        <w:tc>
          <w:tcPr>
            <w:tcW w:w="1575" w:type="dxa"/>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40" w:lineRule="auto"/>
              <w:jc w:val="both"/>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nezistené</w:t>
            </w:r>
          </w:p>
        </w:tc>
        <w:tc>
          <w:tcPr>
            <w:tcW w:w="992"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114</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113</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85</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80</w:t>
            </w:r>
          </w:p>
        </w:tc>
        <w:tc>
          <w:tcPr>
            <w:tcW w:w="992"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93</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86</w:t>
            </w:r>
          </w:p>
        </w:tc>
        <w:tc>
          <w:tcPr>
            <w:tcW w:w="1134" w:type="dxa"/>
            <w:tcBorders>
              <w:top w:val="nil"/>
              <w:left w:val="nil"/>
              <w:bottom w:val="single" w:sz="4" w:space="0" w:color="auto"/>
              <w:right w:val="single" w:sz="4" w:space="0" w:color="auto"/>
            </w:tcBorders>
            <w:shd w:val="pct25" w:color="FFFFFF" w:fill="FFFFFF"/>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333333"/>
                <w:sz w:val="20"/>
                <w:szCs w:val="20"/>
                <w:lang w:eastAsia="sk-SK"/>
              </w:rPr>
            </w:pPr>
            <w:r w:rsidRPr="00057923">
              <w:rPr>
                <w:rFonts w:ascii="Book Antiqua" w:eastAsia="Times New Roman" w:hAnsi="Book Antiqua" w:cs="Times New Roman"/>
                <w:color w:val="333333"/>
                <w:sz w:val="20"/>
                <w:szCs w:val="20"/>
                <w:lang w:eastAsia="sk-SK"/>
              </w:rPr>
              <w:t>114</w:t>
            </w:r>
          </w:p>
        </w:tc>
      </w:tr>
      <w:tr w:rsidR="00057923" w:rsidRPr="00057923" w:rsidTr="00A62543">
        <w:trPr>
          <w:trHeight w:val="300"/>
        </w:trPr>
        <w:tc>
          <w:tcPr>
            <w:tcW w:w="1575" w:type="dxa"/>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40" w:lineRule="auto"/>
              <w:jc w:val="both"/>
              <w:rPr>
                <w:rFonts w:ascii="Book Antiqua" w:eastAsia="Times New Roman" w:hAnsi="Book Antiqua" w:cs="Times New Roman"/>
                <w:b/>
                <w:bCs/>
                <w:i/>
                <w:color w:val="000000"/>
                <w:sz w:val="20"/>
                <w:szCs w:val="20"/>
                <w:lang w:eastAsia="sk-SK"/>
              </w:rPr>
            </w:pPr>
            <w:r w:rsidRPr="00057923">
              <w:rPr>
                <w:rFonts w:ascii="Book Antiqua" w:eastAsia="Times New Roman" w:hAnsi="Book Antiqua" w:cs="Times New Roman"/>
                <w:b/>
                <w:bCs/>
                <w:i/>
                <w:color w:val="000000"/>
                <w:sz w:val="20"/>
                <w:szCs w:val="20"/>
                <w:lang w:eastAsia="sk-SK"/>
              </w:rPr>
              <w:t>Spolu</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i/>
                <w:color w:val="333333"/>
                <w:sz w:val="20"/>
                <w:szCs w:val="20"/>
                <w:lang w:eastAsia="sk-SK"/>
              </w:rPr>
            </w:pPr>
            <w:r w:rsidRPr="00057923">
              <w:rPr>
                <w:rFonts w:ascii="Book Antiqua" w:eastAsia="Times New Roman" w:hAnsi="Book Antiqua" w:cs="Times New Roman"/>
                <w:b/>
                <w:bCs/>
                <w:i/>
                <w:color w:val="333333"/>
                <w:sz w:val="20"/>
                <w:szCs w:val="20"/>
                <w:lang w:eastAsia="sk-SK"/>
              </w:rPr>
              <w:t>150 142</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i/>
                <w:color w:val="000000"/>
                <w:sz w:val="20"/>
                <w:szCs w:val="20"/>
                <w:lang w:eastAsia="sk-SK"/>
              </w:rPr>
            </w:pPr>
            <w:r w:rsidRPr="00057923">
              <w:rPr>
                <w:rFonts w:ascii="Book Antiqua" w:eastAsia="Times New Roman" w:hAnsi="Book Antiqua" w:cs="Times New Roman"/>
                <w:b/>
                <w:bCs/>
                <w:i/>
                <w:color w:val="000000"/>
                <w:sz w:val="20"/>
                <w:szCs w:val="20"/>
                <w:lang w:eastAsia="sk-SK"/>
              </w:rPr>
              <w:t>142 865</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i/>
                <w:color w:val="000000"/>
                <w:sz w:val="20"/>
                <w:szCs w:val="20"/>
                <w:lang w:eastAsia="sk-SK"/>
              </w:rPr>
            </w:pPr>
            <w:r w:rsidRPr="00057923">
              <w:rPr>
                <w:rFonts w:ascii="Book Antiqua" w:eastAsia="Times New Roman" w:hAnsi="Book Antiqua" w:cs="Times New Roman"/>
                <w:b/>
                <w:bCs/>
                <w:i/>
                <w:color w:val="000000"/>
                <w:sz w:val="20"/>
                <w:szCs w:val="20"/>
                <w:lang w:eastAsia="sk-SK"/>
              </w:rPr>
              <w:t>143 896</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i/>
                <w:color w:val="000000"/>
                <w:sz w:val="20"/>
                <w:szCs w:val="20"/>
                <w:lang w:eastAsia="sk-SK"/>
              </w:rPr>
            </w:pPr>
            <w:r w:rsidRPr="00057923">
              <w:rPr>
                <w:rFonts w:ascii="Book Antiqua" w:eastAsia="Times New Roman" w:hAnsi="Book Antiqua" w:cs="Times New Roman"/>
                <w:b/>
                <w:bCs/>
                <w:i/>
                <w:color w:val="000000"/>
                <w:sz w:val="20"/>
                <w:szCs w:val="20"/>
                <w:lang w:eastAsia="sk-SK"/>
              </w:rPr>
              <w:t>137 833</w:t>
            </w:r>
          </w:p>
        </w:tc>
        <w:tc>
          <w:tcPr>
            <w:tcW w:w="992"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i/>
                <w:color w:val="000000"/>
                <w:sz w:val="20"/>
                <w:szCs w:val="20"/>
                <w:lang w:eastAsia="sk-SK"/>
              </w:rPr>
            </w:pPr>
            <w:r w:rsidRPr="00057923">
              <w:rPr>
                <w:rFonts w:ascii="Book Antiqua" w:eastAsia="Times New Roman" w:hAnsi="Book Antiqua" w:cs="Times New Roman"/>
                <w:b/>
                <w:bCs/>
                <w:i/>
                <w:color w:val="000000"/>
                <w:sz w:val="20"/>
                <w:szCs w:val="20"/>
                <w:lang w:eastAsia="sk-SK"/>
              </w:rPr>
              <w:t>122 198</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i/>
                <w:color w:val="000000"/>
                <w:sz w:val="20"/>
                <w:szCs w:val="20"/>
                <w:lang w:eastAsia="sk-SK"/>
              </w:rPr>
            </w:pPr>
            <w:r w:rsidRPr="00057923">
              <w:rPr>
                <w:rFonts w:ascii="Book Antiqua" w:eastAsia="Times New Roman" w:hAnsi="Book Antiqua" w:cs="Times New Roman"/>
                <w:b/>
                <w:bCs/>
                <w:i/>
                <w:color w:val="000000"/>
                <w:sz w:val="20"/>
                <w:szCs w:val="20"/>
                <w:lang w:eastAsia="sk-SK"/>
              </w:rPr>
              <w:t>120 663</w:t>
            </w:r>
          </w:p>
        </w:tc>
        <w:tc>
          <w:tcPr>
            <w:tcW w:w="1134" w:type="dxa"/>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i/>
                <w:color w:val="333333"/>
                <w:sz w:val="20"/>
                <w:szCs w:val="20"/>
                <w:lang w:eastAsia="sk-SK"/>
              </w:rPr>
            </w:pPr>
            <w:r w:rsidRPr="00057923">
              <w:rPr>
                <w:rFonts w:ascii="Book Antiqua" w:eastAsia="Times New Roman" w:hAnsi="Book Antiqua" w:cs="Times New Roman"/>
                <w:b/>
                <w:bCs/>
                <w:i/>
                <w:color w:val="333333"/>
                <w:sz w:val="20"/>
                <w:szCs w:val="20"/>
                <w:lang w:eastAsia="sk-SK"/>
              </w:rPr>
              <w:t>123 951</w:t>
            </w:r>
          </w:p>
        </w:tc>
      </w:tr>
      <w:tr w:rsidR="00057923" w:rsidRPr="00057923" w:rsidTr="00A62543">
        <w:trPr>
          <w:trHeight w:val="810"/>
        </w:trPr>
        <w:tc>
          <w:tcPr>
            <w:tcW w:w="1575" w:type="dxa"/>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40" w:lineRule="auto"/>
              <w:jc w:val="both"/>
              <w:rPr>
                <w:rFonts w:ascii="Book Antiqua" w:eastAsia="Times New Roman" w:hAnsi="Book Antiqua" w:cs="Times New Roman"/>
                <w:b/>
                <w:bCs/>
                <w:i/>
                <w:iCs/>
                <w:color w:val="000000"/>
                <w:sz w:val="20"/>
                <w:szCs w:val="20"/>
                <w:lang w:eastAsia="sk-SK"/>
              </w:rPr>
            </w:pPr>
            <w:r w:rsidRPr="00057923">
              <w:rPr>
                <w:rFonts w:ascii="Book Antiqua" w:eastAsia="Times New Roman" w:hAnsi="Book Antiqua" w:cs="Times New Roman"/>
                <w:b/>
                <w:bCs/>
                <w:i/>
                <w:iCs/>
                <w:color w:val="000000"/>
                <w:sz w:val="20"/>
                <w:szCs w:val="20"/>
                <w:lang w:eastAsia="sk-SK"/>
              </w:rPr>
              <w:lastRenderedPageBreak/>
              <w:t>podiel 60 a viac ročných</w:t>
            </w:r>
          </w:p>
        </w:tc>
        <w:tc>
          <w:tcPr>
            <w:tcW w:w="992" w:type="dxa"/>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i/>
                <w:iCs/>
                <w:color w:val="000000"/>
                <w:sz w:val="20"/>
                <w:szCs w:val="20"/>
                <w:lang w:eastAsia="sk-SK"/>
              </w:rPr>
            </w:pPr>
            <w:r w:rsidRPr="00057923">
              <w:rPr>
                <w:rFonts w:ascii="Book Antiqua" w:eastAsia="Times New Roman" w:hAnsi="Book Antiqua" w:cs="Times New Roman"/>
                <w:b/>
                <w:bCs/>
                <w:i/>
                <w:iCs/>
                <w:color w:val="000000"/>
                <w:sz w:val="20"/>
                <w:szCs w:val="20"/>
                <w:lang w:eastAsia="sk-SK"/>
              </w:rPr>
              <w:t>0,6%</w:t>
            </w:r>
          </w:p>
        </w:tc>
        <w:tc>
          <w:tcPr>
            <w:tcW w:w="1134" w:type="dxa"/>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i/>
                <w:iCs/>
                <w:color w:val="000000"/>
                <w:sz w:val="20"/>
                <w:szCs w:val="20"/>
                <w:lang w:eastAsia="sk-SK"/>
              </w:rPr>
            </w:pPr>
            <w:r w:rsidRPr="00057923">
              <w:rPr>
                <w:rFonts w:ascii="Book Antiqua" w:eastAsia="Times New Roman" w:hAnsi="Book Antiqua" w:cs="Times New Roman"/>
                <w:b/>
                <w:bCs/>
                <w:i/>
                <w:iCs/>
                <w:color w:val="000000"/>
                <w:sz w:val="20"/>
                <w:szCs w:val="20"/>
                <w:lang w:eastAsia="sk-SK"/>
              </w:rPr>
              <w:t>0,9%</w:t>
            </w:r>
          </w:p>
        </w:tc>
        <w:tc>
          <w:tcPr>
            <w:tcW w:w="1134" w:type="dxa"/>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i/>
                <w:iCs/>
                <w:color w:val="000000"/>
                <w:sz w:val="20"/>
                <w:szCs w:val="20"/>
                <w:lang w:eastAsia="sk-SK"/>
              </w:rPr>
            </w:pPr>
            <w:r w:rsidRPr="00057923">
              <w:rPr>
                <w:rFonts w:ascii="Book Antiqua" w:eastAsia="Times New Roman" w:hAnsi="Book Antiqua" w:cs="Times New Roman"/>
                <w:b/>
                <w:bCs/>
                <w:i/>
                <w:iCs/>
                <w:color w:val="000000"/>
                <w:sz w:val="20"/>
                <w:szCs w:val="20"/>
                <w:lang w:eastAsia="sk-SK"/>
              </w:rPr>
              <w:t>1,7%</w:t>
            </w:r>
          </w:p>
        </w:tc>
        <w:tc>
          <w:tcPr>
            <w:tcW w:w="1134" w:type="dxa"/>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i/>
                <w:iCs/>
                <w:color w:val="000000"/>
                <w:sz w:val="20"/>
                <w:szCs w:val="20"/>
                <w:lang w:eastAsia="sk-SK"/>
              </w:rPr>
            </w:pPr>
            <w:r w:rsidRPr="00057923">
              <w:rPr>
                <w:rFonts w:ascii="Book Antiqua" w:eastAsia="Times New Roman" w:hAnsi="Book Antiqua" w:cs="Times New Roman"/>
                <w:b/>
                <w:bCs/>
                <w:i/>
                <w:iCs/>
                <w:color w:val="000000"/>
                <w:sz w:val="20"/>
                <w:szCs w:val="20"/>
                <w:lang w:eastAsia="sk-SK"/>
              </w:rPr>
              <w:t>2,3%</w:t>
            </w:r>
          </w:p>
        </w:tc>
        <w:tc>
          <w:tcPr>
            <w:tcW w:w="992" w:type="dxa"/>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i/>
                <w:iCs/>
                <w:color w:val="000000"/>
                <w:sz w:val="20"/>
                <w:szCs w:val="20"/>
                <w:lang w:eastAsia="sk-SK"/>
              </w:rPr>
            </w:pPr>
            <w:r w:rsidRPr="00057923">
              <w:rPr>
                <w:rFonts w:ascii="Book Antiqua" w:eastAsia="Times New Roman" w:hAnsi="Book Antiqua" w:cs="Times New Roman"/>
                <w:b/>
                <w:bCs/>
                <w:i/>
                <w:iCs/>
                <w:color w:val="000000"/>
                <w:sz w:val="20"/>
                <w:szCs w:val="20"/>
                <w:lang w:eastAsia="sk-SK"/>
              </w:rPr>
              <w:t>2,6%</w:t>
            </w:r>
          </w:p>
        </w:tc>
        <w:tc>
          <w:tcPr>
            <w:tcW w:w="1134" w:type="dxa"/>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i/>
                <w:iCs/>
                <w:color w:val="000000"/>
                <w:sz w:val="20"/>
                <w:szCs w:val="20"/>
                <w:lang w:eastAsia="sk-SK"/>
              </w:rPr>
            </w:pPr>
            <w:r w:rsidRPr="00057923">
              <w:rPr>
                <w:rFonts w:ascii="Book Antiqua" w:eastAsia="Times New Roman" w:hAnsi="Book Antiqua" w:cs="Times New Roman"/>
                <w:b/>
                <w:bCs/>
                <w:i/>
                <w:iCs/>
                <w:color w:val="000000"/>
                <w:sz w:val="20"/>
                <w:szCs w:val="20"/>
                <w:lang w:eastAsia="sk-SK"/>
              </w:rPr>
              <w:t>3,0%</w:t>
            </w:r>
          </w:p>
        </w:tc>
        <w:tc>
          <w:tcPr>
            <w:tcW w:w="1134" w:type="dxa"/>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i/>
                <w:iCs/>
                <w:color w:val="000000"/>
                <w:sz w:val="20"/>
                <w:szCs w:val="20"/>
                <w:lang w:eastAsia="sk-SK"/>
              </w:rPr>
            </w:pPr>
            <w:r w:rsidRPr="00057923">
              <w:rPr>
                <w:rFonts w:ascii="Book Antiqua" w:eastAsia="Times New Roman" w:hAnsi="Book Antiqua" w:cs="Times New Roman"/>
                <w:b/>
                <w:bCs/>
                <w:i/>
                <w:iCs/>
                <w:color w:val="000000"/>
                <w:sz w:val="20"/>
                <w:szCs w:val="20"/>
                <w:lang w:eastAsia="sk-SK"/>
              </w:rPr>
              <w:t>3,5%</w:t>
            </w:r>
          </w:p>
        </w:tc>
      </w:tr>
    </w:tbl>
    <w:p w:rsidR="00057923" w:rsidRPr="00057923" w:rsidRDefault="00057923" w:rsidP="00057923">
      <w:pPr>
        <w:spacing w:after="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Zdroj: Sociálnej poisťovňa</w:t>
      </w:r>
    </w:p>
    <w:p w:rsidR="00057923" w:rsidRPr="00057923" w:rsidRDefault="00057923" w:rsidP="00057923">
      <w:pPr>
        <w:spacing w:after="0" w:line="276" w:lineRule="auto"/>
        <w:jc w:val="both"/>
        <w:rPr>
          <w:rFonts w:ascii="Book Antiqua" w:eastAsia="Times New Roman" w:hAnsi="Book Antiqua" w:cs="Times New Roman"/>
          <w:sz w:val="20"/>
          <w:szCs w:val="20"/>
        </w:rPr>
      </w:pPr>
    </w:p>
    <w:p w:rsidR="00057923" w:rsidRPr="00057923" w:rsidRDefault="00057923" w:rsidP="00057923">
      <w:pPr>
        <w:spacing w:after="200" w:line="276" w:lineRule="auto"/>
        <w:ind w:firstLine="708"/>
        <w:jc w:val="both"/>
        <w:rPr>
          <w:rFonts w:ascii="Book Antiqua" w:eastAsia="Times New Roman" w:hAnsi="Book Antiqua" w:cs="Times New Roman"/>
          <w:b/>
        </w:rPr>
      </w:pPr>
      <w:r w:rsidRPr="00057923">
        <w:rPr>
          <w:rFonts w:ascii="Book Antiqua" w:eastAsia="Times New Roman" w:hAnsi="Book Antiqua" w:cs="Times New Roman"/>
        </w:rPr>
        <w:t xml:space="preserve">Ako z tabuľky 8 jasne vyplýva </w:t>
      </w:r>
      <w:r w:rsidRPr="00057923">
        <w:rPr>
          <w:rFonts w:ascii="Book Antiqua" w:eastAsia="Times New Roman" w:hAnsi="Book Antiqua" w:cs="Times New Roman"/>
          <w:b/>
        </w:rPr>
        <w:t xml:space="preserve">podiel osôb vo veku 60 a viac ročných má v období rokov 2010 až 2016 stúpajúcu tendenciu, pričom ich podiel vzrástol z 0,6 % v roku 2010 na 3,5 % v roku 2016. </w:t>
      </w:r>
      <w:r w:rsidRPr="00057923">
        <w:rPr>
          <w:rFonts w:ascii="Book Antiqua" w:eastAsia="Times New Roman" w:hAnsi="Book Antiqua" w:cs="Times New Roman"/>
        </w:rPr>
        <w:t xml:space="preserve">Z údajov Sociálnej poisťovne navyše vyplýva, </w:t>
      </w:r>
      <w:r w:rsidRPr="00057923">
        <w:rPr>
          <w:rFonts w:ascii="Book Antiqua" w:eastAsia="Times New Roman" w:hAnsi="Book Antiqua" w:cs="Times New Roman"/>
          <w:b/>
        </w:rPr>
        <w:t>že približne jedna štvrtina osôb odchádzajúcich do predčasného starobného dôchodku v rokoch 2014 až 2016, poberala pred nástupom na dôchodok dávku v nezamestnanosti.</w:t>
      </w: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t>Tabuľka 9:</w:t>
      </w:r>
      <w:r w:rsidRPr="00057923">
        <w:rPr>
          <w:rFonts w:ascii="Book Antiqua" w:eastAsia="Times New Roman" w:hAnsi="Book Antiqua" w:cs="Times New Roman"/>
        </w:rPr>
        <w:t xml:space="preserve"> Počet poberateľov dávky v nezamestnanosti v období jedného roka pred nástupom na predčasný starobný dôchodok v rokoch  2014 až 2016.</w:t>
      </w:r>
    </w:p>
    <w:tbl>
      <w:tblPr>
        <w:tblW w:w="5000" w:type="pct"/>
        <w:jc w:val="center"/>
        <w:tblLayout w:type="fixed"/>
        <w:tblCellMar>
          <w:left w:w="70" w:type="dxa"/>
          <w:right w:w="70" w:type="dxa"/>
        </w:tblCellMar>
        <w:tblLook w:val="04A0" w:firstRow="1" w:lastRow="0" w:firstColumn="1" w:lastColumn="0" w:noHBand="0" w:noVBand="1"/>
      </w:tblPr>
      <w:tblGrid>
        <w:gridCol w:w="1325"/>
        <w:gridCol w:w="2087"/>
        <w:gridCol w:w="2648"/>
        <w:gridCol w:w="2990"/>
      </w:tblGrid>
      <w:tr w:rsidR="00057923" w:rsidRPr="00057923" w:rsidTr="00A62543">
        <w:trPr>
          <w:trHeight w:val="945"/>
          <w:jc w:val="center"/>
        </w:trPr>
        <w:tc>
          <w:tcPr>
            <w:tcW w:w="732" w:type="pct"/>
            <w:tcBorders>
              <w:top w:val="single" w:sz="8" w:space="0" w:color="auto"/>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Rok priznania PSD</w:t>
            </w:r>
          </w:p>
        </w:tc>
        <w:tc>
          <w:tcPr>
            <w:tcW w:w="1153"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Po</w:t>
            </w:r>
            <w:r w:rsidRPr="00057923">
              <w:rPr>
                <w:rFonts w:ascii="Book Antiqua" w:eastAsia="Times New Roman" w:hAnsi="Book Antiqua" w:cs="Arial"/>
                <w:b/>
                <w:bCs/>
                <w:color w:val="000000"/>
                <w:sz w:val="20"/>
                <w:szCs w:val="20"/>
                <w:lang w:eastAsia="sk-SK"/>
              </w:rPr>
              <w:t>č</w:t>
            </w:r>
            <w:r w:rsidRPr="00057923">
              <w:rPr>
                <w:rFonts w:ascii="Book Antiqua" w:eastAsia="Times New Roman" w:hAnsi="Book Antiqua" w:cs="Times New Roman"/>
                <w:b/>
                <w:bCs/>
                <w:color w:val="000000"/>
                <w:sz w:val="20"/>
                <w:szCs w:val="20"/>
                <w:lang w:eastAsia="sk-SK"/>
              </w:rPr>
              <w:t>et novopriznan</w:t>
            </w:r>
            <w:r w:rsidRPr="00057923">
              <w:rPr>
                <w:rFonts w:ascii="Book Antiqua" w:eastAsia="Times New Roman" w:hAnsi="Book Antiqua" w:cs="Arial Rounded MT Bold"/>
                <w:b/>
                <w:bCs/>
                <w:color w:val="000000"/>
                <w:sz w:val="20"/>
                <w:szCs w:val="20"/>
                <w:lang w:eastAsia="sk-SK"/>
              </w:rPr>
              <w:t>ý</w:t>
            </w:r>
            <w:r w:rsidRPr="00057923">
              <w:rPr>
                <w:rFonts w:ascii="Book Antiqua" w:eastAsia="Times New Roman" w:hAnsi="Book Antiqua" w:cs="Times New Roman"/>
                <w:b/>
                <w:bCs/>
                <w:color w:val="000000"/>
                <w:sz w:val="20"/>
                <w:szCs w:val="20"/>
                <w:lang w:eastAsia="sk-SK"/>
              </w:rPr>
              <w:t xml:space="preserve">ch PSD </w:t>
            </w:r>
          </w:p>
        </w:tc>
        <w:tc>
          <w:tcPr>
            <w:tcW w:w="1463"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Po</w:t>
            </w:r>
            <w:r w:rsidRPr="00057923">
              <w:rPr>
                <w:rFonts w:ascii="Book Antiqua" w:eastAsia="Times New Roman" w:hAnsi="Book Antiqua" w:cs="Arial"/>
                <w:b/>
                <w:bCs/>
                <w:color w:val="000000"/>
                <w:sz w:val="20"/>
                <w:szCs w:val="20"/>
                <w:lang w:eastAsia="sk-SK"/>
              </w:rPr>
              <w:t>č</w:t>
            </w:r>
            <w:r w:rsidRPr="00057923">
              <w:rPr>
                <w:rFonts w:ascii="Book Antiqua" w:eastAsia="Times New Roman" w:hAnsi="Book Antiqua" w:cs="Times New Roman"/>
                <w:b/>
                <w:bCs/>
                <w:color w:val="000000"/>
                <w:sz w:val="20"/>
                <w:szCs w:val="20"/>
                <w:lang w:eastAsia="sk-SK"/>
              </w:rPr>
              <w:t>et poberate</w:t>
            </w:r>
            <w:r w:rsidRPr="00057923">
              <w:rPr>
                <w:rFonts w:ascii="Book Antiqua" w:eastAsia="Times New Roman" w:hAnsi="Book Antiqua" w:cs="Arial"/>
                <w:b/>
                <w:bCs/>
                <w:color w:val="000000"/>
                <w:sz w:val="20"/>
                <w:szCs w:val="20"/>
                <w:lang w:eastAsia="sk-SK"/>
              </w:rPr>
              <w:t>ľ</w:t>
            </w:r>
            <w:r w:rsidRPr="00057923">
              <w:rPr>
                <w:rFonts w:ascii="Book Antiqua" w:eastAsia="Times New Roman" w:hAnsi="Book Antiqua" w:cs="Times New Roman"/>
                <w:b/>
                <w:bCs/>
                <w:color w:val="000000"/>
                <w:sz w:val="20"/>
                <w:szCs w:val="20"/>
                <w:lang w:eastAsia="sk-SK"/>
              </w:rPr>
              <w:t xml:space="preserve">ov </w:t>
            </w:r>
            <w:proofErr w:type="spellStart"/>
            <w:r w:rsidRPr="00057923">
              <w:rPr>
                <w:rFonts w:ascii="Book Antiqua" w:eastAsia="Times New Roman" w:hAnsi="Book Antiqua" w:cs="Times New Roman"/>
                <w:b/>
                <w:bCs/>
                <w:color w:val="000000"/>
                <w:sz w:val="20"/>
                <w:szCs w:val="20"/>
                <w:lang w:eastAsia="sk-SK"/>
              </w:rPr>
              <w:t>DvN</w:t>
            </w:r>
            <w:proofErr w:type="spellEnd"/>
            <w:r w:rsidRPr="00057923">
              <w:rPr>
                <w:rFonts w:ascii="Book Antiqua" w:eastAsia="Times New Roman" w:hAnsi="Book Antiqua" w:cs="Times New Roman"/>
                <w:b/>
                <w:bCs/>
                <w:color w:val="000000"/>
                <w:sz w:val="20"/>
                <w:szCs w:val="20"/>
                <w:lang w:eastAsia="sk-SK"/>
              </w:rPr>
              <w:t xml:space="preserve"> pred n</w:t>
            </w:r>
            <w:r w:rsidRPr="00057923">
              <w:rPr>
                <w:rFonts w:ascii="Book Antiqua" w:eastAsia="Times New Roman" w:hAnsi="Book Antiqua" w:cs="Arial Rounded MT Bold"/>
                <w:b/>
                <w:bCs/>
                <w:color w:val="000000"/>
                <w:sz w:val="20"/>
                <w:szCs w:val="20"/>
                <w:lang w:eastAsia="sk-SK"/>
              </w:rPr>
              <w:t>á</w:t>
            </w:r>
            <w:r w:rsidRPr="00057923">
              <w:rPr>
                <w:rFonts w:ascii="Book Antiqua" w:eastAsia="Times New Roman" w:hAnsi="Book Antiqua" w:cs="Times New Roman"/>
                <w:b/>
                <w:bCs/>
                <w:color w:val="000000"/>
                <w:sz w:val="20"/>
                <w:szCs w:val="20"/>
                <w:lang w:eastAsia="sk-SK"/>
              </w:rPr>
              <w:t>stupom na PSD</w:t>
            </w:r>
          </w:p>
        </w:tc>
        <w:tc>
          <w:tcPr>
            <w:tcW w:w="1653"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Podiel poberate</w:t>
            </w:r>
            <w:r w:rsidRPr="00057923">
              <w:rPr>
                <w:rFonts w:ascii="Book Antiqua" w:eastAsia="Times New Roman" w:hAnsi="Book Antiqua" w:cs="Arial"/>
                <w:b/>
                <w:bCs/>
                <w:color w:val="000000"/>
                <w:sz w:val="20"/>
                <w:szCs w:val="20"/>
                <w:lang w:eastAsia="sk-SK"/>
              </w:rPr>
              <w:t>ľ</w:t>
            </w:r>
            <w:r w:rsidRPr="00057923">
              <w:rPr>
                <w:rFonts w:ascii="Book Antiqua" w:eastAsia="Times New Roman" w:hAnsi="Book Antiqua" w:cs="Times New Roman"/>
                <w:b/>
                <w:bCs/>
                <w:color w:val="000000"/>
                <w:sz w:val="20"/>
                <w:szCs w:val="20"/>
                <w:lang w:eastAsia="sk-SK"/>
              </w:rPr>
              <w:t xml:space="preserve">ov </w:t>
            </w:r>
            <w:proofErr w:type="spellStart"/>
            <w:r w:rsidRPr="00057923">
              <w:rPr>
                <w:rFonts w:ascii="Book Antiqua" w:eastAsia="Times New Roman" w:hAnsi="Book Antiqua" w:cs="Times New Roman"/>
                <w:b/>
                <w:bCs/>
                <w:color w:val="000000"/>
                <w:sz w:val="20"/>
                <w:szCs w:val="20"/>
                <w:lang w:eastAsia="sk-SK"/>
              </w:rPr>
              <w:t>DvN</w:t>
            </w:r>
            <w:proofErr w:type="spellEnd"/>
            <w:r w:rsidRPr="00057923">
              <w:rPr>
                <w:rFonts w:ascii="Book Antiqua" w:eastAsia="Times New Roman" w:hAnsi="Book Antiqua" w:cs="Times New Roman"/>
                <w:b/>
                <w:bCs/>
                <w:color w:val="000000"/>
                <w:sz w:val="20"/>
                <w:szCs w:val="20"/>
                <w:lang w:eastAsia="sk-SK"/>
              </w:rPr>
              <w:t xml:space="preserve"> z celkov</w:t>
            </w:r>
            <w:r w:rsidRPr="00057923">
              <w:rPr>
                <w:rFonts w:ascii="Book Antiqua" w:eastAsia="Times New Roman" w:hAnsi="Book Antiqua" w:cs="Arial Rounded MT Bold"/>
                <w:b/>
                <w:bCs/>
                <w:color w:val="000000"/>
                <w:sz w:val="20"/>
                <w:szCs w:val="20"/>
                <w:lang w:eastAsia="sk-SK"/>
              </w:rPr>
              <w:t>é</w:t>
            </w:r>
            <w:r w:rsidRPr="00057923">
              <w:rPr>
                <w:rFonts w:ascii="Book Antiqua" w:eastAsia="Times New Roman" w:hAnsi="Book Antiqua" w:cs="Times New Roman"/>
                <w:b/>
                <w:bCs/>
                <w:color w:val="000000"/>
                <w:sz w:val="20"/>
                <w:szCs w:val="20"/>
                <w:lang w:eastAsia="sk-SK"/>
              </w:rPr>
              <w:t>ho po</w:t>
            </w:r>
            <w:r w:rsidRPr="00057923">
              <w:rPr>
                <w:rFonts w:ascii="Book Antiqua" w:eastAsia="Times New Roman" w:hAnsi="Book Antiqua" w:cs="Arial"/>
                <w:b/>
                <w:bCs/>
                <w:color w:val="000000"/>
                <w:sz w:val="20"/>
                <w:szCs w:val="20"/>
                <w:lang w:eastAsia="sk-SK"/>
              </w:rPr>
              <w:t>č</w:t>
            </w:r>
            <w:r w:rsidRPr="00057923">
              <w:rPr>
                <w:rFonts w:ascii="Book Antiqua" w:eastAsia="Times New Roman" w:hAnsi="Book Antiqua" w:cs="Times New Roman"/>
                <w:b/>
                <w:bCs/>
                <w:color w:val="000000"/>
                <w:sz w:val="20"/>
                <w:szCs w:val="20"/>
                <w:lang w:eastAsia="sk-SK"/>
              </w:rPr>
              <w:t>tu novopriznan</w:t>
            </w:r>
            <w:r w:rsidRPr="00057923">
              <w:rPr>
                <w:rFonts w:ascii="Book Antiqua" w:eastAsia="Times New Roman" w:hAnsi="Book Antiqua" w:cs="Arial Rounded MT Bold"/>
                <w:b/>
                <w:bCs/>
                <w:color w:val="000000"/>
                <w:sz w:val="20"/>
                <w:szCs w:val="20"/>
                <w:lang w:eastAsia="sk-SK"/>
              </w:rPr>
              <w:t>ý</w:t>
            </w:r>
            <w:r w:rsidRPr="00057923">
              <w:rPr>
                <w:rFonts w:ascii="Book Antiqua" w:eastAsia="Times New Roman" w:hAnsi="Book Antiqua" w:cs="Times New Roman"/>
                <w:b/>
                <w:bCs/>
                <w:color w:val="000000"/>
                <w:sz w:val="20"/>
                <w:szCs w:val="20"/>
                <w:lang w:eastAsia="sk-SK"/>
              </w:rPr>
              <w:t>ch PSD</w:t>
            </w:r>
          </w:p>
        </w:tc>
      </w:tr>
      <w:tr w:rsidR="00057923" w:rsidRPr="00057923" w:rsidTr="00A62543">
        <w:trPr>
          <w:trHeight w:val="300"/>
          <w:jc w:val="center"/>
        </w:trPr>
        <w:tc>
          <w:tcPr>
            <w:tcW w:w="732"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2014</w:t>
            </w:r>
          </w:p>
        </w:tc>
        <w:tc>
          <w:tcPr>
            <w:tcW w:w="1153"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14 615</w:t>
            </w:r>
          </w:p>
        </w:tc>
        <w:tc>
          <w:tcPr>
            <w:tcW w:w="1463"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3 761</w:t>
            </w:r>
          </w:p>
        </w:tc>
        <w:tc>
          <w:tcPr>
            <w:tcW w:w="1653" w:type="pct"/>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ind w:left="69"/>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25,7%</w:t>
            </w:r>
          </w:p>
        </w:tc>
      </w:tr>
      <w:tr w:rsidR="00057923" w:rsidRPr="00057923" w:rsidTr="00A62543">
        <w:trPr>
          <w:trHeight w:val="300"/>
          <w:jc w:val="center"/>
        </w:trPr>
        <w:tc>
          <w:tcPr>
            <w:tcW w:w="732"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2015</w:t>
            </w:r>
          </w:p>
        </w:tc>
        <w:tc>
          <w:tcPr>
            <w:tcW w:w="1153"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15 545</w:t>
            </w:r>
          </w:p>
        </w:tc>
        <w:tc>
          <w:tcPr>
            <w:tcW w:w="1463"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3 718</w:t>
            </w:r>
          </w:p>
        </w:tc>
        <w:tc>
          <w:tcPr>
            <w:tcW w:w="1653" w:type="pct"/>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ind w:left="69"/>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23,9%</w:t>
            </w:r>
          </w:p>
        </w:tc>
      </w:tr>
      <w:tr w:rsidR="00057923" w:rsidRPr="00057923" w:rsidTr="00A62543">
        <w:trPr>
          <w:trHeight w:val="315"/>
          <w:jc w:val="center"/>
        </w:trPr>
        <w:tc>
          <w:tcPr>
            <w:tcW w:w="732" w:type="pct"/>
            <w:tcBorders>
              <w:top w:val="nil"/>
              <w:left w:val="single" w:sz="8" w:space="0" w:color="auto"/>
              <w:bottom w:val="single" w:sz="8"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2016</w:t>
            </w:r>
          </w:p>
        </w:tc>
        <w:tc>
          <w:tcPr>
            <w:tcW w:w="1153" w:type="pct"/>
            <w:tcBorders>
              <w:top w:val="nil"/>
              <w:left w:val="nil"/>
              <w:bottom w:val="single" w:sz="8"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18 306</w:t>
            </w:r>
          </w:p>
        </w:tc>
        <w:tc>
          <w:tcPr>
            <w:tcW w:w="1463" w:type="pct"/>
            <w:tcBorders>
              <w:top w:val="nil"/>
              <w:left w:val="nil"/>
              <w:bottom w:val="single" w:sz="8" w:space="0" w:color="auto"/>
              <w:right w:val="single" w:sz="4"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4 425</w:t>
            </w:r>
          </w:p>
        </w:tc>
        <w:tc>
          <w:tcPr>
            <w:tcW w:w="165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ind w:left="69"/>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24,2%</w:t>
            </w:r>
          </w:p>
        </w:tc>
      </w:tr>
    </w:tbl>
    <w:p w:rsidR="00057923" w:rsidRPr="00057923" w:rsidRDefault="00057923" w:rsidP="00057923">
      <w:pPr>
        <w:spacing w:after="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 xml:space="preserve">Zdroj: MPSVR SR na základe </w:t>
      </w:r>
      <w:proofErr w:type="spellStart"/>
      <w:r w:rsidRPr="00057923">
        <w:rPr>
          <w:rFonts w:ascii="Book Antiqua" w:eastAsia="Times New Roman" w:hAnsi="Book Antiqua" w:cs="Times New Roman"/>
          <w:i/>
          <w:sz w:val="20"/>
          <w:szCs w:val="20"/>
        </w:rPr>
        <w:t>mikrodát</w:t>
      </w:r>
      <w:proofErr w:type="spellEnd"/>
      <w:r w:rsidRPr="00057923">
        <w:rPr>
          <w:rFonts w:ascii="Book Antiqua" w:eastAsia="Times New Roman" w:hAnsi="Book Antiqua" w:cs="Times New Roman"/>
          <w:i/>
          <w:sz w:val="20"/>
          <w:szCs w:val="20"/>
        </w:rPr>
        <w:t xml:space="preserve"> od Sociálnej poisťovne</w:t>
      </w:r>
    </w:p>
    <w:p w:rsidR="00057923" w:rsidRPr="00057923" w:rsidRDefault="00057923" w:rsidP="00057923">
      <w:pPr>
        <w:spacing w:after="0" w:line="276" w:lineRule="auto"/>
        <w:jc w:val="both"/>
        <w:rPr>
          <w:rFonts w:ascii="Book Antiqua" w:eastAsia="Times New Roman" w:hAnsi="Book Antiqua" w:cs="Times New Roman"/>
          <w:i/>
          <w:lang w:val="en-US"/>
        </w:rPr>
      </w:pP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Miera náhrady príjmu starobným dôchodkom bola v </w:t>
      </w:r>
      <w:r w:rsidRPr="00057923">
        <w:rPr>
          <w:rFonts w:ascii="Book Antiqua" w:eastAsia="Times New Roman" w:hAnsi="Book Antiqua" w:cs="Times New Roman"/>
          <w:b/>
        </w:rPr>
        <w:t>prípade novopriznaných predčasných starobných dôchodcov v rokoch 2014 až 2016 približne na úrovni 47 až 48 %, čo je o cca  6 – 7 p. b. menej ako v prípade dôchodcov odchádzajúcich do starobného dôchodku.</w:t>
      </w:r>
      <w:r w:rsidRPr="00057923">
        <w:rPr>
          <w:rFonts w:ascii="Book Antiqua" w:eastAsia="Times New Roman" w:hAnsi="Book Antiqua" w:cs="Times New Roman"/>
        </w:rPr>
        <w:t xml:space="preserve"> Tento rozdiel je pochopiteľne spôsobený krátením predčasného starobného dôchodku. V posledných rokoch poistenci odchádzajú do predčasného starobného dôchodku v priemere 19 mesiacov pred dovŕšením dôchodkového veku.</w:t>
      </w: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t>Tabuľka 10:</w:t>
      </w:r>
      <w:r w:rsidRPr="00057923">
        <w:rPr>
          <w:rFonts w:ascii="Book Antiqua" w:eastAsia="Times New Roman" w:hAnsi="Book Antiqua" w:cs="Times New Roman"/>
        </w:rPr>
        <w:t xml:space="preserve"> Priemerné hodnoty základných premenných vstupujúcich do vzorca na výpočet predčasného starobného dôchodku a miera náhrady novopriznaných starobných dôchodkov v rokoch 2014 až 2016.</w:t>
      </w:r>
    </w:p>
    <w:tbl>
      <w:tblPr>
        <w:tblW w:w="5000" w:type="pct"/>
        <w:jc w:val="center"/>
        <w:tblCellMar>
          <w:left w:w="70" w:type="dxa"/>
          <w:right w:w="70" w:type="dxa"/>
        </w:tblCellMar>
        <w:tblLook w:val="04A0" w:firstRow="1" w:lastRow="0" w:firstColumn="1" w:lastColumn="0" w:noHBand="0" w:noVBand="1"/>
      </w:tblPr>
      <w:tblGrid>
        <w:gridCol w:w="1765"/>
        <w:gridCol w:w="2186"/>
        <w:gridCol w:w="2040"/>
        <w:gridCol w:w="3059"/>
      </w:tblGrid>
      <w:tr w:rsidR="00057923" w:rsidRPr="00057923" w:rsidTr="00A62543">
        <w:trPr>
          <w:trHeight w:val="945"/>
          <w:jc w:val="center"/>
        </w:trPr>
        <w:tc>
          <w:tcPr>
            <w:tcW w:w="975" w:type="pct"/>
            <w:tcBorders>
              <w:top w:val="single" w:sz="8" w:space="0" w:color="auto"/>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Rok priznania starobného dôchodku</w:t>
            </w:r>
          </w:p>
        </w:tc>
        <w:tc>
          <w:tcPr>
            <w:tcW w:w="1208" w:type="pct"/>
            <w:tcBorders>
              <w:top w:val="single" w:sz="8" w:space="0" w:color="auto"/>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Obdobie dôchodkového poistenia</w:t>
            </w:r>
          </w:p>
        </w:tc>
        <w:tc>
          <w:tcPr>
            <w:tcW w:w="1127" w:type="pct"/>
            <w:tcBorders>
              <w:top w:val="single" w:sz="8" w:space="0" w:color="auto"/>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POMB - neupravený</w:t>
            </w:r>
          </w:p>
        </w:tc>
        <w:tc>
          <w:tcPr>
            <w:tcW w:w="1691" w:type="pct"/>
            <w:tcBorders>
              <w:top w:val="single" w:sz="8" w:space="0" w:color="auto"/>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Miera náhrady novopriznaných predčasných starobných dôchodkov v %</w:t>
            </w:r>
          </w:p>
        </w:tc>
      </w:tr>
      <w:tr w:rsidR="00057923" w:rsidRPr="00057923" w:rsidTr="00A62543">
        <w:trPr>
          <w:trHeight w:val="300"/>
          <w:jc w:val="center"/>
        </w:trPr>
        <w:tc>
          <w:tcPr>
            <w:tcW w:w="975"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2014</w:t>
            </w:r>
          </w:p>
        </w:tc>
        <w:tc>
          <w:tcPr>
            <w:tcW w:w="1208"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41,3</w:t>
            </w:r>
          </w:p>
        </w:tc>
        <w:tc>
          <w:tcPr>
            <w:tcW w:w="112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1,0017</w:t>
            </w:r>
          </w:p>
        </w:tc>
        <w:tc>
          <w:tcPr>
            <w:tcW w:w="1691" w:type="pct"/>
            <w:tcBorders>
              <w:top w:val="nil"/>
              <w:left w:val="nil"/>
              <w:bottom w:val="single" w:sz="4" w:space="0" w:color="auto"/>
              <w:right w:val="single" w:sz="8"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47,7</w:t>
            </w:r>
          </w:p>
        </w:tc>
      </w:tr>
      <w:tr w:rsidR="00057923" w:rsidRPr="00057923" w:rsidTr="00A62543">
        <w:trPr>
          <w:trHeight w:val="300"/>
          <w:jc w:val="center"/>
        </w:trPr>
        <w:tc>
          <w:tcPr>
            <w:tcW w:w="975"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2015</w:t>
            </w:r>
          </w:p>
        </w:tc>
        <w:tc>
          <w:tcPr>
            <w:tcW w:w="1208"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41,2</w:t>
            </w:r>
          </w:p>
        </w:tc>
        <w:tc>
          <w:tcPr>
            <w:tcW w:w="112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0,9794</w:t>
            </w:r>
          </w:p>
        </w:tc>
        <w:tc>
          <w:tcPr>
            <w:tcW w:w="1691" w:type="pct"/>
            <w:tcBorders>
              <w:top w:val="nil"/>
              <w:left w:val="nil"/>
              <w:bottom w:val="single" w:sz="4" w:space="0" w:color="auto"/>
              <w:right w:val="single" w:sz="8"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47,2</w:t>
            </w:r>
          </w:p>
        </w:tc>
      </w:tr>
      <w:tr w:rsidR="00057923" w:rsidRPr="00057923" w:rsidTr="00A62543">
        <w:trPr>
          <w:trHeight w:val="315"/>
          <w:jc w:val="center"/>
        </w:trPr>
        <w:tc>
          <w:tcPr>
            <w:tcW w:w="975" w:type="pct"/>
            <w:tcBorders>
              <w:top w:val="nil"/>
              <w:left w:val="single" w:sz="8" w:space="0" w:color="auto"/>
              <w:bottom w:val="single" w:sz="8"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2016</w:t>
            </w:r>
          </w:p>
        </w:tc>
        <w:tc>
          <w:tcPr>
            <w:tcW w:w="1208" w:type="pct"/>
            <w:tcBorders>
              <w:top w:val="nil"/>
              <w:left w:val="nil"/>
              <w:bottom w:val="single" w:sz="8"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41,2</w:t>
            </w:r>
          </w:p>
        </w:tc>
        <w:tc>
          <w:tcPr>
            <w:tcW w:w="1127" w:type="pct"/>
            <w:tcBorders>
              <w:top w:val="nil"/>
              <w:left w:val="nil"/>
              <w:bottom w:val="single" w:sz="8" w:space="0" w:color="auto"/>
              <w:right w:val="single" w:sz="4"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0,9680</w:t>
            </w:r>
          </w:p>
        </w:tc>
        <w:tc>
          <w:tcPr>
            <w:tcW w:w="1691" w:type="pct"/>
            <w:tcBorders>
              <w:top w:val="nil"/>
              <w:left w:val="nil"/>
              <w:bottom w:val="single" w:sz="8" w:space="0" w:color="auto"/>
              <w:right w:val="single" w:sz="8" w:space="0" w:color="auto"/>
            </w:tcBorders>
            <w:noWrap/>
            <w:vAlign w:val="bottom"/>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48,1</w:t>
            </w:r>
          </w:p>
        </w:tc>
      </w:tr>
    </w:tbl>
    <w:p w:rsidR="00057923" w:rsidRPr="00057923" w:rsidRDefault="00057923" w:rsidP="00057923">
      <w:pPr>
        <w:spacing w:after="0" w:line="276" w:lineRule="auto"/>
        <w:jc w:val="both"/>
        <w:rPr>
          <w:rFonts w:ascii="Book Antiqua" w:eastAsia="Times New Roman" w:hAnsi="Book Antiqua" w:cs="Times New Roman"/>
          <w:i/>
          <w:sz w:val="18"/>
          <w:szCs w:val="20"/>
        </w:rPr>
      </w:pPr>
      <w:r w:rsidRPr="00057923">
        <w:rPr>
          <w:rFonts w:ascii="Book Antiqua" w:eastAsia="Times New Roman" w:hAnsi="Book Antiqua" w:cs="Times New Roman"/>
          <w:i/>
          <w:sz w:val="18"/>
          <w:szCs w:val="20"/>
        </w:rPr>
        <w:t xml:space="preserve">Pozn.: Mieru náhrady novopriznaných starobných dôchodkov sme počítali na základe získaného priemerného osobného mzdového bodu, ktorý poistenec získal počas svojej kariéry. </w:t>
      </w:r>
    </w:p>
    <w:p w:rsidR="00057923" w:rsidRPr="00057923" w:rsidRDefault="00057923" w:rsidP="00057923">
      <w:pPr>
        <w:spacing w:after="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Zdroj: MPSVR SR</w:t>
      </w:r>
    </w:p>
    <w:p w:rsidR="00057923" w:rsidRPr="00057923" w:rsidRDefault="00057923" w:rsidP="00057923">
      <w:pPr>
        <w:spacing w:after="200" w:line="276" w:lineRule="auto"/>
        <w:jc w:val="both"/>
        <w:rPr>
          <w:rFonts w:ascii="Book Antiqua" w:eastAsia="Times New Roman" w:hAnsi="Book Antiqua" w:cs="Times New Roman"/>
          <w:i/>
          <w:sz w:val="20"/>
          <w:szCs w:val="20"/>
        </w:rPr>
      </w:pPr>
    </w:p>
    <w:p w:rsidR="00057923" w:rsidRPr="00057923" w:rsidRDefault="00057923" w:rsidP="00057923">
      <w:pPr>
        <w:spacing w:after="200" w:line="276" w:lineRule="auto"/>
        <w:jc w:val="both"/>
        <w:rPr>
          <w:rFonts w:ascii="Book Antiqua" w:eastAsia="Times New Roman" w:hAnsi="Book Antiqua" w:cs="Times New Roman"/>
          <w:i/>
          <w:sz w:val="20"/>
          <w:szCs w:val="20"/>
        </w:rPr>
      </w:pP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lastRenderedPageBreak/>
        <w:t xml:space="preserve">2.3 Posúdenie súčasných podmienok nároku na predčasný starobný dôchodok, návrhy na </w:t>
      </w:r>
      <w:proofErr w:type="spellStart"/>
      <w:r w:rsidRPr="00057923">
        <w:rPr>
          <w:rFonts w:ascii="Book Antiqua" w:eastAsia="Times New Roman" w:hAnsi="Book Antiqua" w:cs="Times New Roman"/>
          <w:b/>
          <w:i/>
        </w:rPr>
        <w:t>prenastavenie</w:t>
      </w:r>
      <w:proofErr w:type="spellEnd"/>
      <w:r w:rsidRPr="00057923">
        <w:rPr>
          <w:rFonts w:ascii="Book Antiqua" w:eastAsia="Times New Roman" w:hAnsi="Book Antiqua" w:cs="Times New Roman"/>
          <w:b/>
          <w:i/>
        </w:rPr>
        <w:t xml:space="preserve"> a možnosť zavedenia alternatívnej podmienky nároku na SD </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Zo strany žiadateľov/poberateľov dochádza v zásade ku kritike každej z podmienok nároku na predčasný starobný dôchodok. Najčastejšie dochádza ku kritike správnosti krátenia 0,5 % za každých začatých 30 dní chýbajúcich do dovŕšenia dôchodkového veku a skutočnosti, že predčasný starobný dôchodok je krátený doživotne a nielen do dovŕšenia dôchodkového veku. Ako súčasť kontextu je však vhodné spomenúť aj pohľad na nastavenie minimálnej hodnoty predčasného starobného dôchodku v sume 1,2 násobku životného minima, možnosť odchodu maximálne 2 roky pred dovŕšením dôchodkového veku a značné obmedzenie možnosti vykonávať zárobkovú činnosť.</w:t>
      </w:r>
      <w:r w:rsidRPr="00057923" w:rsidDel="00640670">
        <w:rPr>
          <w:rFonts w:ascii="Book Antiqua" w:eastAsia="Times New Roman" w:hAnsi="Book Antiqua" w:cs="Times New Roman"/>
        </w:rPr>
        <w:t xml:space="preserve"> </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Krátenie o 0,5 % za každých začatých 30 dní chýbajúcich do dovŕšenia dôchodkového veku bolo ustanovené v čase kedy bolo možné zároveň pracovať a vykonávať zárobkovú činnosť a bolo možné odísť do predčasného starobného dôchodku v ľubovoľnom veku, ak osoba dosiahla minimálnu hranicu. Rovnako bolo možné vyplatiť predčasný starobný dôchodok spätne a možnosť nekrátenia v prípade neuplatnenia si nároku na dávku v nezamestnanosti o 6, resp. 12 mesiacov. Ak by sme chceli dostať individuálne „správne“ nastavené krátenie na základe priemerného dožitia  malo by zodpovedať </w:t>
      </w:r>
      <w:r w:rsidRPr="00057923">
        <w:rPr>
          <w:rFonts w:ascii="Book Antiqua" w:eastAsia="Times New Roman" w:hAnsi="Book Antiqua" w:cs="Times New Roman"/>
          <w:b/>
        </w:rPr>
        <w:t>približne 3,8 % ročne, t. j. cca 0,32 %</w:t>
      </w:r>
      <w:r w:rsidRPr="00057923">
        <w:rPr>
          <w:rFonts w:ascii="Book Antiqua" w:eastAsia="Times New Roman" w:hAnsi="Book Antiqua" w:cs="Times New Roman"/>
          <w:b/>
          <w:vertAlign w:val="superscript"/>
        </w:rPr>
        <w:footnoteReference w:id="10"/>
      </w:r>
      <w:r w:rsidRPr="00057923">
        <w:rPr>
          <w:rFonts w:ascii="Book Antiqua" w:eastAsia="Times New Roman" w:hAnsi="Book Antiqua" w:cs="Times New Roman"/>
        </w:rPr>
        <w:t xml:space="preserve"> za každých začatých 30 dní dôchodkového poistenia (čo zodpovedá približne aj </w:t>
      </w:r>
      <w:proofErr w:type="spellStart"/>
      <w:r w:rsidRPr="00057923">
        <w:rPr>
          <w:rFonts w:ascii="Book Antiqua" w:eastAsia="Times New Roman" w:hAnsi="Book Antiqua" w:cs="Times New Roman"/>
        </w:rPr>
        <w:t>simulatívnemu</w:t>
      </w:r>
      <w:proofErr w:type="spellEnd"/>
      <w:r w:rsidRPr="00057923">
        <w:rPr>
          <w:rFonts w:ascii="Book Antiqua" w:eastAsia="Times New Roman" w:hAnsi="Book Antiqua" w:cs="Times New Roman"/>
        </w:rPr>
        <w:t xml:space="preserve"> kráteniu v II. pilieri prostredníctvom úmrtnostných tabuliek). Treba však tiež upozorniť, že </w:t>
      </w:r>
      <w:r w:rsidRPr="00057923">
        <w:rPr>
          <w:rFonts w:ascii="Book Antiqua" w:eastAsia="Times New Roman" w:hAnsi="Book Antiqua" w:cs="Times New Roman"/>
          <w:b/>
        </w:rPr>
        <w:t xml:space="preserve">vyššie nastavenie penalizácie má pôsobiť aj </w:t>
      </w:r>
      <w:proofErr w:type="spellStart"/>
      <w:r w:rsidRPr="00057923">
        <w:rPr>
          <w:rFonts w:ascii="Book Antiqua" w:eastAsia="Times New Roman" w:hAnsi="Book Antiqua" w:cs="Times New Roman"/>
          <w:b/>
        </w:rPr>
        <w:t>demotivačne</w:t>
      </w:r>
      <w:proofErr w:type="spellEnd"/>
      <w:r w:rsidRPr="00057923">
        <w:rPr>
          <w:rFonts w:ascii="Book Antiqua" w:eastAsia="Times New Roman" w:hAnsi="Book Antiqua" w:cs="Times New Roman"/>
        </w:rPr>
        <w:t xml:space="preserve"> a môže vychádzať aj z historických sociálno-ekonomických súvislostí (situácia na trhu práce, všeobecná snaha a podpora osôb zamestnať sa a zotrvať na trhu práce, správanie sa obyvateľstva pri možnostiach odchodu z trhu práce atď.). Za zmienku stojí tiež skutočnosť, že nás OECD zaradilo medzi 15 členských krajín ako napr. Česká republika, Estónsko, Fínsko,  Portugalsko, Taliansko, Španielsko a Švédsko, </w:t>
      </w:r>
      <w:r w:rsidRPr="00057923">
        <w:rPr>
          <w:rFonts w:ascii="Book Antiqua" w:eastAsia="Times New Roman" w:hAnsi="Book Antiqua" w:cs="Times New Roman"/>
          <w:b/>
          <w:i/>
        </w:rPr>
        <w:t>ktoré ponúkajú možnosť skoršieho odchodu do dôchodku o niekoľko rokov pred dovŕšením dôchodkového veku a dôchodkové dávky sú znížené v súlade s poistno-matematickými princípmi.</w:t>
      </w:r>
      <w:r w:rsidRPr="00057923">
        <w:rPr>
          <w:rFonts w:ascii="Book Antiqua" w:eastAsia="Times New Roman" w:hAnsi="Book Antiqua" w:cs="Times New Roman"/>
        </w:rPr>
        <w:t xml:space="preserve"> V tejto súvislosti treba tiež pripomenúť, že flexibilita úplného odchodu do predčasného dôchodku je značne obmedzená vo viac ako polovici krajín OECD (</w:t>
      </w:r>
      <w:proofErr w:type="spellStart"/>
      <w:r w:rsidRPr="00057923">
        <w:rPr>
          <w:rFonts w:ascii="Book Antiqua" w:eastAsia="Times New Roman" w:hAnsi="Book Antiqua" w:cs="Times New Roman"/>
        </w:rPr>
        <w:t>Pension</w:t>
      </w:r>
      <w:proofErr w:type="spellEnd"/>
      <w:r w:rsidRPr="00057923">
        <w:rPr>
          <w:rFonts w:ascii="Book Antiqua" w:eastAsia="Times New Roman" w:hAnsi="Book Antiqua" w:cs="Times New Roman"/>
        </w:rPr>
        <w:t xml:space="preserve"> at </w:t>
      </w:r>
      <w:proofErr w:type="spellStart"/>
      <w:r w:rsidRPr="00057923">
        <w:rPr>
          <w:rFonts w:ascii="Book Antiqua" w:eastAsia="Times New Roman" w:hAnsi="Book Antiqua" w:cs="Times New Roman"/>
        </w:rPr>
        <w:t>Glance</w:t>
      </w:r>
      <w:proofErr w:type="spellEnd"/>
      <w:r w:rsidRPr="00057923">
        <w:rPr>
          <w:rFonts w:ascii="Book Antiqua" w:eastAsia="Times New Roman" w:hAnsi="Book Antiqua" w:cs="Times New Roman"/>
        </w:rPr>
        <w:t>, 2017).</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Treba zároveň pripomenúť skutočnosť, že </w:t>
      </w:r>
      <w:r w:rsidRPr="00057923">
        <w:rPr>
          <w:rFonts w:ascii="Book Antiqua" w:eastAsia="Times New Roman" w:hAnsi="Book Antiqua" w:cs="Times New Roman"/>
          <w:b/>
        </w:rPr>
        <w:t>individuálne „správne“ nastavený bonus za neskorší odchod do dôchodku</w:t>
      </w:r>
      <w:r w:rsidRPr="00057923">
        <w:rPr>
          <w:rFonts w:ascii="Book Antiqua" w:eastAsia="Times New Roman" w:hAnsi="Book Antiqua" w:cs="Times New Roman"/>
        </w:rPr>
        <w:t xml:space="preserve"> by bol tiež približne </w:t>
      </w:r>
      <w:r w:rsidRPr="00057923">
        <w:rPr>
          <w:rFonts w:ascii="Book Antiqua" w:eastAsia="Times New Roman" w:hAnsi="Book Antiqua" w:cs="Times New Roman"/>
          <w:b/>
        </w:rPr>
        <w:t>na úrovni 4,0 % ročne.</w:t>
      </w:r>
      <w:r w:rsidRPr="00057923">
        <w:rPr>
          <w:rFonts w:ascii="Book Antiqua" w:eastAsia="Times New Roman" w:hAnsi="Book Antiqua" w:cs="Times New Roman"/>
        </w:rPr>
        <w:t xml:space="preserve"> V súčasnosti sa však zvyšuje tzv. odložený dôchodok (osoba vykonávala zárobkovú činnosť po dovŕšení dôchodkového veku bez poberania SD) bonifikáciou vo výške </w:t>
      </w:r>
      <w:r w:rsidRPr="00057923">
        <w:rPr>
          <w:rFonts w:ascii="Book Antiqua" w:eastAsia="Times New Roman" w:hAnsi="Book Antiqua" w:cs="Times New Roman"/>
          <w:b/>
        </w:rPr>
        <w:t>6 % ročne</w:t>
      </w:r>
      <w:r w:rsidRPr="00057923">
        <w:rPr>
          <w:rFonts w:ascii="Book Antiqua" w:eastAsia="Times New Roman" w:hAnsi="Book Antiqua" w:cs="Times New Roman"/>
        </w:rPr>
        <w:t xml:space="preserve">. Vyššie percento súčasného bonusu </w:t>
      </w:r>
      <w:r w:rsidRPr="00057923">
        <w:rPr>
          <w:rFonts w:ascii="Book Antiqua" w:eastAsia="Times New Roman" w:hAnsi="Book Antiqua" w:cs="Times New Roman"/>
          <w:b/>
          <w:i/>
        </w:rPr>
        <w:t xml:space="preserve">má napĺňať cieľ existencie silnejšej motivácie k tomu, aby osoby odchádzali do starobného dôchodku neskôr </w:t>
      </w:r>
      <w:r w:rsidRPr="00057923">
        <w:rPr>
          <w:rFonts w:ascii="Book Antiqua" w:eastAsia="Times New Roman" w:hAnsi="Book Antiqua" w:cs="Times New Roman"/>
        </w:rPr>
        <w:t>a vykonávali zárobkovú činnosť po dovŕšení dôchodkového veku bez poberania dôchodku</w:t>
      </w:r>
      <w:r w:rsidRPr="00057923">
        <w:rPr>
          <w:rFonts w:ascii="Book Antiqua" w:eastAsia="Times New Roman" w:hAnsi="Book Antiqua" w:cs="Times New Roman"/>
          <w:b/>
          <w:i/>
        </w:rPr>
        <w:t>.</w:t>
      </w:r>
      <w:r w:rsidRPr="00057923">
        <w:rPr>
          <w:rFonts w:ascii="Book Antiqua" w:eastAsia="Times New Roman" w:hAnsi="Book Antiqua" w:cs="Times New Roman"/>
          <w:b/>
        </w:rPr>
        <w:t xml:space="preserve">   </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Nastavenie minimálnej hranice pre priznanie PSD súviselo najmä so snahou, aby osobe vznikol príjem v podobe PSD na takej úrovni, kedy už jej ako jednotlivcovi nemohol vzniknúť nárok na dávku a príspevky v hmotnej núdzi. Treba ešte pripomenúť, že v danom období (rok </w:t>
      </w:r>
      <w:r w:rsidRPr="00057923">
        <w:rPr>
          <w:rFonts w:ascii="Book Antiqua" w:eastAsia="Times New Roman" w:hAnsi="Book Antiqua" w:cs="Times New Roman"/>
        </w:rPr>
        <w:lastRenderedPageBreak/>
        <w:t xml:space="preserve">2004) sa na poberateľov PSD nevzťahoval percentuálny odpočet z dôchodku pre posúdenie hmotnej núdze. Zaradenie PSD pre odpočet z dôchodku pre posúdenie HN s účinnosťou od 1. januára 2010 uvedený cieľ podrylo a ďalej ho skomplikovalo aj zavedenie minimálneho dôchodku s účinnosťou od 1. júla 2015. V súvislosti s minimálnym dôchodkom však treba pripomenúť, že to sa týka predčasného starobného dôchodcu až dňom dovŕšenia dôchodkového veku. Otázne je, či by výška PSD nemala reflektovať sumy MIDO alebo najmenej sumu PSD pre jednotlivca, pri ktorej nie je možné sa kvalifikovať na pomoc v hmotnej núdzi. Išlo by o sprísnenie podmienok na PSD i keď vzhľadom na konštrukciu MIDO a HN by paradoxne ťažšie získavali nárok na PSD osoby s dlhším obdobím dôchodkového poistenia. </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Možnosť odchodu v ľubovoľnom veku bola zrušená s účinnosťou od 1. januára 2008 a nahradená hranicou najmenej 2 roky pred dovŕšením dôchodkového veku. Argumentovalo sa najmä naplnením účelu predčasného starobného dôchodku, nakoľko je určený pre osoby blízko dôchodkovému veku (časť osôb žiadala o PSD aj viac ako 5 rokov pred dovŕšením dôchodkového veku). V prípade, že nechceme opustiť/spochybniť túto argumentáciu, nepovažujeme za správne riešenie znižovať vekovú hranicu, od ktorej by mohol byť dostupný predčasný starobný dôchodok.   </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Zavedenie princípu predčasný starobný dôchodok alebo zárobok bolo ustanovené od 1. januára 2011 (s určitým prechodným obdobím do 28. februára 2011 pre PSD priznané pred účinnosťou zmeny). Argumentovalo sa najmä skutočnosťou, aby sa PSD nestával atraktívnym zdrojom príjmu popri plate/zisku zo zárobkovej činnosti. Od 1. januára 2013 sa zaviedlo platenie dôchodkového poistenia aj na dohody mimo pracovného pomeru, t. j. obmedzenie zárobkovej činnosti v prípade PSD sa vzťahuje aj na </w:t>
      </w:r>
      <w:proofErr w:type="spellStart"/>
      <w:r w:rsidRPr="00057923">
        <w:rPr>
          <w:rFonts w:ascii="Book Antiqua" w:eastAsia="Times New Roman" w:hAnsi="Book Antiqua" w:cs="Times New Roman"/>
        </w:rPr>
        <w:t>ne</w:t>
      </w:r>
      <w:proofErr w:type="spellEnd"/>
      <w:r w:rsidRPr="00057923">
        <w:rPr>
          <w:rFonts w:ascii="Book Antiqua" w:eastAsia="Times New Roman" w:hAnsi="Book Antiqua" w:cs="Times New Roman"/>
        </w:rPr>
        <w:t xml:space="preserve">. Čiastočné uvoľnenie pre dohody a predčasný starobný dôchodok bude predstavovať zavedenie  odvodovej odpočítateľnej položky pri mesačnom limite do 200 eur od 1. júla 2018 (viď Box 3 v podkapitole 3.2). Z vecného pohľadu považujeme argument pre zavedenie princípu PSD alebo zárobok za správny a vzhľadom aj na blížiacu sa „protichodnú“ zmenu, nepovažujeme za vhodné o ďalšom rozšírení zárobkovej činnosti uvažovať.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Ako je uvedené v podkapitole 2.1. niektoré členské krajiny EÚ používajú určitý kombinovaný prístup k možnosti odchodu do predčasného starobného dôchodku, t. j. je potrebné získať určitý počet rokov dôchodkového poistenia, nárok od určitého veku a pristupujú ku kráteniu nelineárne.  </w:t>
      </w:r>
    </w:p>
    <w:p w:rsidR="00057923" w:rsidRPr="00057923" w:rsidRDefault="00057923" w:rsidP="00057923">
      <w:pPr>
        <w:spacing w:after="200" w:line="276" w:lineRule="auto"/>
        <w:jc w:val="both"/>
        <w:rPr>
          <w:rFonts w:ascii="Book Antiqua" w:eastAsia="Times New Roman" w:hAnsi="Book Antiqua" w:cs="Times New Roman"/>
          <w:b/>
          <w:i/>
          <w:u w:val="single"/>
        </w:rPr>
      </w:pPr>
      <w:r w:rsidRPr="00057923">
        <w:rPr>
          <w:rFonts w:ascii="Book Antiqua" w:eastAsia="Times New Roman" w:hAnsi="Book Antiqua" w:cs="Times New Roman"/>
          <w:b/>
          <w:i/>
          <w:u w:val="single"/>
        </w:rPr>
        <w:t xml:space="preserve">Alternatíva A: </w:t>
      </w:r>
      <w:proofErr w:type="spellStart"/>
      <w:r w:rsidRPr="00057923">
        <w:rPr>
          <w:rFonts w:ascii="Book Antiqua" w:eastAsia="Times New Roman" w:hAnsi="Book Antiqua" w:cs="Times New Roman"/>
          <w:b/>
          <w:i/>
          <w:u w:val="single"/>
        </w:rPr>
        <w:t>Prenastavenie</w:t>
      </w:r>
      <w:proofErr w:type="spellEnd"/>
      <w:r w:rsidRPr="00057923">
        <w:rPr>
          <w:rFonts w:ascii="Book Antiqua" w:eastAsia="Times New Roman" w:hAnsi="Book Antiqua" w:cs="Times New Roman"/>
          <w:b/>
          <w:i/>
          <w:u w:val="single"/>
        </w:rPr>
        <w:t xml:space="preserve"> súčasných podmienok na PSD</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Jednotlivé podmienky nároku ponúkajú pomerne široké variácie na vyskladanie si nových kritérií na PSD. Napr. nárok možný až po získaní x rokov dôchodkového poistenia, nastavenie minimálnej sumy v závislosti od dĺžky obdobia do dôchodkového veku (x násobok životného minima, s možnosťou aplikácie  zvyšovania požadovanej sumy o 1% životného minima za každý chýbajúci mesiac) a nelineárne krátenie. </w:t>
      </w:r>
      <w:r w:rsidRPr="00057923">
        <w:rPr>
          <w:rFonts w:ascii="Book Antiqua" w:eastAsia="Times New Roman" w:hAnsi="Book Antiqua" w:cs="Times New Roman"/>
          <w:b/>
          <w:i/>
        </w:rPr>
        <w:t xml:space="preserve">Pred samotným nastavením treba však mať jasne zadefinované ciele novej úpravy: má poskytnúť vyššiu flexibilitu na úkor finančnej udržateľnosti alebo má ísť iba o určité prerozdelenie podmienok (niečo zmierniť, niečo sprísniť) s cieľom zachovania finančnej neutrality? </w:t>
      </w:r>
      <w:r w:rsidRPr="00057923">
        <w:rPr>
          <w:rFonts w:ascii="Book Antiqua" w:eastAsia="Times New Roman" w:hAnsi="Book Antiqua" w:cs="Times New Roman"/>
        </w:rPr>
        <w:t xml:space="preserve"> S prihliadnutím na priechodnosť </w:t>
      </w:r>
      <w:r w:rsidRPr="00057923">
        <w:rPr>
          <w:rFonts w:ascii="Book Antiqua" w:eastAsia="Times New Roman" w:hAnsi="Book Antiqua" w:cs="Times New Roman"/>
        </w:rPr>
        <w:lastRenderedPageBreak/>
        <w:t xml:space="preserve">a reálnosť nového nastavenia odporúčame zamerať sa najmä na možné zmeny s porovnateľným finančným vplyvom voči súčasnému právnemu stavu.  </w:t>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 xml:space="preserve">Alternatívne by bolo možné  súčasné podmienky zmeniť nasledovne: </w:t>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 najmenej 30 rokov dôchodkového poistenia,</w:t>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 PSD najmenej na úrovni 1,36-1,87 násobku životného minima, aby poberateľovi PSD ani po dovŕšení dôchodkového veku nevznikol nárok na MIDO;</w:t>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 nelineárne krátenie 0,3% za mesiace do jedného roka pred dovŕšením veku a 0,4% za každé ďalšie.</w:t>
      </w:r>
    </w:p>
    <w:p w:rsidR="00057923" w:rsidRPr="00057923" w:rsidRDefault="00057923" w:rsidP="00057923">
      <w:pPr>
        <w:spacing w:after="0" w:line="276" w:lineRule="auto"/>
        <w:jc w:val="both"/>
        <w:rPr>
          <w:rFonts w:ascii="Book Antiqua" w:eastAsia="Times New Roman" w:hAnsi="Book Antiqua" w:cs="Times New Roman"/>
          <w:b/>
          <w:i/>
        </w:rPr>
      </w:pPr>
      <w:r w:rsidRPr="00057923">
        <w:rPr>
          <w:rFonts w:ascii="Book Antiqua" w:eastAsia="Times New Roman" w:hAnsi="Book Antiqua" w:cs="Times New Roman"/>
          <w:b/>
          <w:i/>
        </w:rPr>
        <w:t xml:space="preserve">Podmienka odchodu najmenej 2 roky by zostala nezmenená.  </w:t>
      </w:r>
    </w:p>
    <w:p w:rsidR="00057923" w:rsidRPr="00057923" w:rsidRDefault="00057923" w:rsidP="00057923">
      <w:pPr>
        <w:spacing w:after="200" w:line="276" w:lineRule="auto"/>
        <w:ind w:firstLine="708"/>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b/>
          <w:i/>
          <w:u w:val="single"/>
        </w:rPr>
      </w:pPr>
      <w:r w:rsidRPr="00057923">
        <w:rPr>
          <w:rFonts w:ascii="Book Antiqua" w:eastAsia="Times New Roman" w:hAnsi="Book Antiqua" w:cs="Times New Roman"/>
          <w:b/>
          <w:i/>
          <w:u w:val="single"/>
        </w:rPr>
        <w:t>Alternatíva B: Alternatívna podmienka odchodu do starobného dôchodku</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Ďalšou alternatívou odchodu do starobného dôchodku je odchod na základe získaného obdobia dôchodkového poistenia. V praxi by to znamenalo, že osoba by mohla odísť do starobného dôchodku aj skôr ako dovŕši dôchodkový vek, za predpokladu, že získala dostatočne dlhé obdobie dôchodkového poistenia. Z Tabuľky 1 vyplýva, že až 30 % osôb odchádzajúcich do starobného dôchodku v roku 2016 získalo viac ako 46 rokov dôchodkového poistenia. </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Ak by sme ako podmienku stanovili minimálne obdobie dôchodkového poistenia na úrovni 46 rokov skorší odchod do dôchodku by sme v porovnaní so súčasným právnym stavom umožnili každoročne približne 25 - 30 % žiadateľom o  starobný dôchodok, ktorí by tak nemuseli čakať na dosiahnutie fyzického veku a starobný dôchodok by nemali krátený ako je tomu v prípade PSD. Uvedená skupina poistencov by tak </w:t>
      </w:r>
      <w:proofErr w:type="spellStart"/>
      <w:r w:rsidRPr="00057923">
        <w:rPr>
          <w:rFonts w:ascii="Book Antiqua" w:eastAsia="Times New Roman" w:hAnsi="Book Antiqua" w:cs="Times New Roman"/>
        </w:rPr>
        <w:t>odcházala</w:t>
      </w:r>
      <w:proofErr w:type="spellEnd"/>
      <w:r w:rsidRPr="00057923">
        <w:rPr>
          <w:rFonts w:ascii="Book Antiqua" w:eastAsia="Times New Roman" w:hAnsi="Book Antiqua" w:cs="Times New Roman"/>
        </w:rPr>
        <w:t xml:space="preserve"> do dôchodku v priemere </w:t>
      </w:r>
      <w:r w:rsidRPr="00057923">
        <w:rPr>
          <w:rFonts w:ascii="Book Antiqua" w:eastAsia="Times New Roman" w:hAnsi="Book Antiqua" w:cs="Times New Roman"/>
          <w:b/>
        </w:rPr>
        <w:t>o 6 mesiacov</w:t>
      </w:r>
      <w:r w:rsidRPr="00057923">
        <w:rPr>
          <w:rFonts w:ascii="Book Antiqua" w:eastAsia="Times New Roman" w:hAnsi="Book Antiqua" w:cs="Times New Roman"/>
        </w:rPr>
        <w:t xml:space="preserve"> skôr ako podľa súčasného právneho stavu. V prípade, ak by sme stanovili podmienku na obdobie dôchodkového poistenia na úroveň 45 rokov skupina osôb by sa rozrástla o ďalších 15 – 20 % a skorší odchod do dôchodku týchto poistencov by predstavoval v priemere </w:t>
      </w:r>
      <w:r w:rsidRPr="00057923">
        <w:rPr>
          <w:rFonts w:ascii="Book Antiqua" w:eastAsia="Times New Roman" w:hAnsi="Book Antiqua" w:cs="Times New Roman"/>
          <w:b/>
        </w:rPr>
        <w:t>o 1 rok a 2 mesiace</w:t>
      </w:r>
      <w:r w:rsidRPr="00057923">
        <w:rPr>
          <w:rFonts w:ascii="Book Antiqua" w:eastAsia="Times New Roman" w:hAnsi="Book Antiqua" w:cs="Times New Roman"/>
        </w:rPr>
        <w:t xml:space="preserve">.  </w:t>
      </w:r>
    </w:p>
    <w:p w:rsidR="00057923" w:rsidRPr="00057923" w:rsidRDefault="00057923" w:rsidP="00057923">
      <w:pPr>
        <w:spacing w:after="200" w:line="276" w:lineRule="auto"/>
        <w:ind w:firstLine="705"/>
        <w:jc w:val="both"/>
        <w:rPr>
          <w:rFonts w:ascii="Book Antiqua" w:eastAsia="Times New Roman" w:hAnsi="Book Antiqua" w:cs="Times New Roman"/>
          <w:b/>
        </w:rPr>
      </w:pPr>
      <w:r w:rsidRPr="00057923">
        <w:rPr>
          <w:rFonts w:ascii="Book Antiqua" w:eastAsia="Times New Roman" w:hAnsi="Book Antiqua" w:cs="Times New Roman"/>
        </w:rPr>
        <w:t xml:space="preserve">Ak uvažujeme nad alternatívou odchodu do dôchodku na základe získaného obdobia dôchodkového poistenia, je dôležité  si uvedomiť, pre koho má byť predovšetkým určená táto právna úprava. Nazdávame sa, že alternatívny odchod do dôchodku by mal byť  určený predovšetkým na osoby, ktoré sa už v preddôchodkovom veku nedokážu zamestnať a majú dostatočné obdobie </w:t>
      </w:r>
      <w:proofErr w:type="spellStart"/>
      <w:r w:rsidRPr="00057923">
        <w:rPr>
          <w:rFonts w:ascii="Book Antiqua" w:eastAsia="Times New Roman" w:hAnsi="Book Antiqua" w:cs="Times New Roman"/>
        </w:rPr>
        <w:t>odpracovných</w:t>
      </w:r>
      <w:proofErr w:type="spellEnd"/>
      <w:r w:rsidRPr="00057923">
        <w:rPr>
          <w:rFonts w:ascii="Book Antiqua" w:eastAsia="Times New Roman" w:hAnsi="Book Antiqua" w:cs="Times New Roman"/>
        </w:rPr>
        <w:t xml:space="preserve"> rokov, t. j. predovšetkým v súčasnosti na osoby odchádzajúce do predčasného starobného dôchodku. V prípade predčasných starobných dôchodcov by ale stanovenie minimálneho obdobia dôchodkového poistenia na úrovni 46 rokov spĺňali len </w:t>
      </w:r>
      <w:proofErr w:type="spellStart"/>
      <w:r w:rsidRPr="00057923">
        <w:rPr>
          <w:rFonts w:ascii="Book Antiqua" w:eastAsia="Times New Roman" w:hAnsi="Book Antiqua" w:cs="Times New Roman"/>
        </w:rPr>
        <w:t>približe</w:t>
      </w:r>
      <w:proofErr w:type="spellEnd"/>
      <w:r w:rsidRPr="00057923">
        <w:rPr>
          <w:rFonts w:ascii="Book Antiqua" w:eastAsia="Times New Roman" w:hAnsi="Book Antiqua" w:cs="Times New Roman"/>
        </w:rPr>
        <w:t xml:space="preserve"> 2 - 3 % žiadateľov  o predčasný starobný dôchodok, ktorí odišli do dôchodku v roku 2016 (14,3 % novopriznaných predčasných starobných dôchodcov v roku 2016 získalo aspoň 45 rokov dôchodkového poistenia). </w:t>
      </w:r>
      <w:r w:rsidRPr="00057923">
        <w:rPr>
          <w:rFonts w:ascii="Book Antiqua" w:eastAsia="Times New Roman" w:hAnsi="Book Antiqua" w:cs="Times New Roman"/>
          <w:b/>
        </w:rPr>
        <w:t>To znamená, že zavedenie podmienky na získané obdobie dôchodkového poistenia stráca svoj účinok práve u svojej cieľovej skupiny.</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lastRenderedPageBreak/>
        <w:t xml:space="preserve">Z tohto dôvodu aj s prihliadnutím na skutočnosť, že by malo ísť o možnosť alternatívneho odchodu najmä pre osoby fyzicky/duševne vyčerpanejšie prácou, sa zdá byť  racionálnejšie nastaviť podmienku nie na celé získané obdobie dôchodkového poistenia, ale  </w:t>
      </w:r>
      <w:r w:rsidRPr="00057923">
        <w:rPr>
          <w:rFonts w:ascii="Book Antiqua" w:eastAsia="Times New Roman" w:hAnsi="Book Antiqua" w:cs="Times New Roman"/>
          <w:b/>
        </w:rPr>
        <w:t>na počet odpracovaných rokov</w:t>
      </w:r>
      <w:r w:rsidRPr="00057923">
        <w:rPr>
          <w:rFonts w:ascii="Book Antiqua" w:eastAsia="Times New Roman" w:hAnsi="Book Antiqua" w:cs="Times New Roman"/>
        </w:rPr>
        <w:t xml:space="preserve">, kde by sa poistencovi započítavali len obdobia, kedy  platil poistné  do dôchodkového systému zo zárobkovej činnosti (vrátane poistného zodpovedajúceho zamestnávateľovi). Veľmi dôležité je v tejto súvislosti presné stanovenie kritérií, na základe ktorých by sa zohľadňovali odpracované roky. Ak by poistenec následne takýmto spôsobom získal napríklad 42 „tzv. odpracovaných rokov“, mohol by odísť do starobného dôchodku bez ohľadu na fyzický vek.   Na prvý pohľad dokážeme okamžite </w:t>
      </w:r>
      <w:r w:rsidRPr="00057923">
        <w:rPr>
          <w:rFonts w:ascii="Book Antiqua" w:eastAsia="Times New Roman" w:hAnsi="Book Antiqua" w:cs="Times New Roman"/>
          <w:b/>
        </w:rPr>
        <w:t>identifikovať riziko</w:t>
      </w:r>
      <w:r w:rsidRPr="00057923">
        <w:rPr>
          <w:rFonts w:ascii="Book Antiqua" w:eastAsia="Times New Roman" w:hAnsi="Book Antiqua" w:cs="Times New Roman"/>
        </w:rPr>
        <w:t xml:space="preserve">, ktoré sa bude týkať </w:t>
      </w:r>
      <w:r w:rsidRPr="00057923">
        <w:rPr>
          <w:rFonts w:ascii="Book Antiqua" w:eastAsia="Times New Roman" w:hAnsi="Book Antiqua" w:cs="Times New Roman"/>
          <w:b/>
        </w:rPr>
        <w:t>tzv. náhradných dôb</w:t>
      </w:r>
      <w:r w:rsidRPr="00057923">
        <w:rPr>
          <w:rFonts w:ascii="Book Antiqua" w:eastAsia="Times New Roman" w:hAnsi="Book Antiqua" w:cs="Times New Roman"/>
        </w:rPr>
        <w:t xml:space="preserve"> získaných do 31. decembra 2003 – konkrétne mohlo ísť napr.  o evidovanú nezamestnanosť (do 31. decembra 2000), poberanie podpory/dávky v </w:t>
      </w:r>
      <w:proofErr w:type="spellStart"/>
      <w:r w:rsidRPr="00057923">
        <w:rPr>
          <w:rFonts w:ascii="Book Antiqua" w:eastAsia="Times New Roman" w:hAnsi="Book Antiqua" w:cs="Times New Roman"/>
        </w:rPr>
        <w:t>nezamesnanosti</w:t>
      </w:r>
      <w:proofErr w:type="spellEnd"/>
      <w:r w:rsidRPr="00057923">
        <w:rPr>
          <w:rFonts w:ascii="Book Antiqua" w:eastAsia="Times New Roman" w:hAnsi="Book Antiqua" w:cs="Times New Roman"/>
        </w:rPr>
        <w:t>,  štúdium na strednej alebo vysokej škole, starostlivosť o dieťa počas materskej a rodičovskej dovolenky, starostlivosť o fyzickú osobu so ZŤP, obdobie PN a základnú vojenskú službu. V </w:t>
      </w:r>
      <w:proofErr w:type="spellStart"/>
      <w:r w:rsidRPr="00057923">
        <w:rPr>
          <w:rFonts w:ascii="Book Antiqua" w:eastAsia="Times New Roman" w:hAnsi="Book Antiqua" w:cs="Times New Roman"/>
        </w:rPr>
        <w:t>týcho</w:t>
      </w:r>
      <w:proofErr w:type="spellEnd"/>
      <w:r w:rsidRPr="00057923">
        <w:rPr>
          <w:rFonts w:ascii="Book Antiqua" w:eastAsia="Times New Roman" w:hAnsi="Book Antiqua" w:cs="Times New Roman"/>
        </w:rPr>
        <w:t xml:space="preserve"> prípadoch štát platil poistné za uvedené osoby až od roku 1995 (s výnimkou PN), avšak s veľmi nízkym vymeriavacím základom od 2,7 do 37,7% voči priemernej mzde v danom roku. Od 1. januára 2004 platí štát poistné </w:t>
      </w:r>
      <w:r w:rsidRPr="00057923">
        <w:rPr>
          <w:rFonts w:ascii="Book Antiqua" w:eastAsia="Times New Roman" w:hAnsi="Book Antiqua" w:cs="Times New Roman"/>
          <w:b/>
          <w:i/>
        </w:rPr>
        <w:t>za osoby starajúce sa o dieťa</w:t>
      </w:r>
      <w:r w:rsidRPr="00057923">
        <w:rPr>
          <w:rFonts w:ascii="Book Antiqua" w:eastAsia="Times New Roman" w:hAnsi="Book Antiqua" w:cs="Times New Roman"/>
        </w:rPr>
        <w:t xml:space="preserve"> do 6, resp. 18 rokov veku (ak je dieťa ZŤP) v zásade 60% z priemernej mzdy z pred dvoch rokov, od 1. augusta 2006 za </w:t>
      </w:r>
      <w:r w:rsidRPr="00057923">
        <w:rPr>
          <w:rFonts w:ascii="Book Antiqua" w:eastAsia="Times New Roman" w:hAnsi="Book Antiqua" w:cs="Times New Roman"/>
          <w:b/>
          <w:i/>
        </w:rPr>
        <w:t>poberateľa peňažného príspevku na opatrovanie</w:t>
      </w:r>
      <w:r w:rsidRPr="00057923">
        <w:rPr>
          <w:rFonts w:ascii="Book Antiqua" w:eastAsia="Times New Roman" w:hAnsi="Book Antiqua" w:cs="Times New Roman"/>
        </w:rPr>
        <w:t xml:space="preserve"> a od 1. januára 2009 za </w:t>
      </w:r>
      <w:r w:rsidRPr="00057923">
        <w:rPr>
          <w:rFonts w:ascii="Book Antiqua" w:eastAsia="Times New Roman" w:hAnsi="Book Antiqua" w:cs="Times New Roman"/>
          <w:b/>
          <w:i/>
        </w:rPr>
        <w:t xml:space="preserve">osobu vykonávajúcu osobnú </w:t>
      </w:r>
      <w:proofErr w:type="spellStart"/>
      <w:r w:rsidRPr="00057923">
        <w:rPr>
          <w:rFonts w:ascii="Book Antiqua" w:eastAsia="Times New Roman" w:hAnsi="Book Antiqua" w:cs="Times New Roman"/>
          <w:b/>
          <w:i/>
        </w:rPr>
        <w:t>asitenciu</w:t>
      </w:r>
      <w:proofErr w:type="spellEnd"/>
      <w:r w:rsidRPr="00057923">
        <w:rPr>
          <w:rFonts w:ascii="Book Antiqua" w:eastAsia="Times New Roman" w:hAnsi="Book Antiqua" w:cs="Times New Roman"/>
        </w:rPr>
        <w:t xml:space="preserve"> – v súčasnosti 50% priemernej mzdy z pred dvoch rokov. Zároveň je fyzickým osobám umožnené si platiť </w:t>
      </w:r>
      <w:r w:rsidRPr="00057923">
        <w:rPr>
          <w:rFonts w:ascii="Book Antiqua" w:eastAsia="Times New Roman" w:hAnsi="Book Antiqua" w:cs="Times New Roman"/>
          <w:b/>
          <w:i/>
        </w:rPr>
        <w:t>poistné na dôchodkové poistenie dobrovoľne vrátane spätného doplatenia</w:t>
      </w:r>
      <w:r w:rsidRPr="00057923">
        <w:rPr>
          <w:rFonts w:ascii="Book Antiqua" w:eastAsia="Times New Roman" w:hAnsi="Book Antiqua" w:cs="Times New Roman"/>
        </w:rPr>
        <w:t xml:space="preserve"> pri určitých situáciách od roku 2004 (napr. za evidovanú nezamestnanosť na ÚP a štúdium na strednej alebo vysokej škole).</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Ak by došlo k rozhodnutiu, že náhradné doby, resp. obdobia spadajúce do statusu poistenca štátu, sa nebudú započítavať do „odpracovaných rokov“ na posúdenie alternatívnej podmienky odchodu do SD – </w:t>
      </w:r>
      <w:r w:rsidRPr="00057923">
        <w:rPr>
          <w:rFonts w:ascii="Book Antiqua" w:eastAsia="Times New Roman" w:hAnsi="Book Antiqua" w:cs="Times New Roman"/>
          <w:b/>
          <w:u w:val="single"/>
        </w:rPr>
        <w:t>možno očakávať výraznú kritiku dotknutých osôb, resp. ich združení</w:t>
      </w:r>
      <w:r w:rsidRPr="00057923">
        <w:rPr>
          <w:rFonts w:ascii="Book Antiqua" w:eastAsia="Times New Roman" w:hAnsi="Book Antiqua" w:cs="Times New Roman"/>
        </w:rPr>
        <w:t xml:space="preserve">, pričom v našich stanoviskách uznávame, že tieto </w:t>
      </w:r>
      <w:r w:rsidRPr="00057923">
        <w:rPr>
          <w:rFonts w:ascii="Book Antiqua" w:eastAsia="Times New Roman" w:hAnsi="Book Antiqua" w:cs="Times New Roman"/>
          <w:b/>
        </w:rPr>
        <w:t>osoby vykonávali celospoločensky prospešnú činnosť</w:t>
      </w:r>
      <w:r w:rsidRPr="00057923">
        <w:rPr>
          <w:rFonts w:ascii="Book Antiqua" w:eastAsia="Times New Roman" w:hAnsi="Book Antiqua" w:cs="Times New Roman"/>
        </w:rPr>
        <w:t xml:space="preserve"> (s výnimkou evidencie na ÚP) a dávame na jednu úroveň so zárobkovou činnosťou. </w:t>
      </w:r>
      <w:r w:rsidRPr="00057923">
        <w:rPr>
          <w:rFonts w:ascii="Book Antiqua" w:eastAsia="Times New Roman" w:hAnsi="Book Antiqua" w:cs="Times New Roman"/>
          <w:b/>
        </w:rPr>
        <w:t xml:space="preserve">Diferencovaný prístup, ak by sme napr. započítavali  do odpracovaných rokov starostlivosť o dieťa a nezapočítavali štúdium na strednej a vysokej škole </w:t>
      </w:r>
      <w:r w:rsidRPr="00057923">
        <w:rPr>
          <w:rFonts w:ascii="Book Antiqua" w:eastAsia="Times New Roman" w:hAnsi="Book Antiqua" w:cs="Times New Roman"/>
          <w:b/>
          <w:u w:val="single"/>
        </w:rPr>
        <w:t>sa javí ako neopodstatnený</w:t>
      </w:r>
      <w:r w:rsidRPr="00057923">
        <w:rPr>
          <w:rFonts w:ascii="Book Antiqua" w:eastAsia="Times New Roman" w:hAnsi="Book Antiqua" w:cs="Times New Roman"/>
        </w:rPr>
        <w:t xml:space="preserve">. Rovnako by bolo nevyhnutné sa zaoberať, či by sa započítavalo do „odpracovaných rokov“ obdobie získané dobrovoľným platením poistného vrátane spätného doplatenia a či sa bude započítavať aj </w:t>
      </w:r>
      <w:r w:rsidRPr="00057923">
        <w:rPr>
          <w:rFonts w:ascii="Book Antiqua" w:eastAsia="Times New Roman" w:hAnsi="Book Antiqua" w:cs="Times New Roman"/>
          <w:b/>
          <w:i/>
        </w:rPr>
        <w:t>obdobie PN</w:t>
      </w:r>
      <w:r w:rsidRPr="00057923">
        <w:rPr>
          <w:rFonts w:ascii="Book Antiqua" w:eastAsia="Times New Roman" w:hAnsi="Book Antiqua" w:cs="Times New Roman"/>
        </w:rPr>
        <w:t xml:space="preserve">, ku ktorej došlo od roku 2004. </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Nakoľko v súčasnosti </w:t>
      </w:r>
      <w:r w:rsidRPr="00057923">
        <w:rPr>
          <w:rFonts w:ascii="Book Antiqua" w:eastAsia="Times New Roman" w:hAnsi="Book Antiqua" w:cs="Times New Roman"/>
          <w:b/>
          <w:lang w:val="en-US"/>
        </w:rPr>
        <w:t>MPSVR SR</w:t>
      </w:r>
      <w:r w:rsidRPr="00057923">
        <w:rPr>
          <w:rFonts w:ascii="Book Antiqua" w:eastAsia="Times New Roman" w:hAnsi="Book Antiqua" w:cs="Times New Roman"/>
          <w:b/>
        </w:rPr>
        <w:t xml:space="preserve"> nedisponuje spoľahlivými údajmi</w:t>
      </w:r>
      <w:r w:rsidRPr="00057923">
        <w:rPr>
          <w:rFonts w:ascii="Book Antiqua" w:eastAsia="Times New Roman" w:hAnsi="Book Antiqua" w:cs="Times New Roman"/>
          <w:vertAlign w:val="superscript"/>
        </w:rPr>
        <w:footnoteReference w:id="11"/>
      </w:r>
      <w:r w:rsidRPr="00057923">
        <w:rPr>
          <w:rFonts w:ascii="Book Antiqua" w:eastAsia="Times New Roman" w:hAnsi="Book Antiqua" w:cs="Times New Roman"/>
        </w:rPr>
        <w:t xml:space="preserve">, na základe ktorých by bolo možné vyhodnotiť, akú časť dôchodkového poistenia u poberateľov novopriznaného SD a PSD tvoria tzv. „odpracované roky“, </w:t>
      </w:r>
      <w:r w:rsidRPr="00057923">
        <w:rPr>
          <w:rFonts w:ascii="Book Antiqua" w:eastAsia="Times New Roman" w:hAnsi="Book Antiqua" w:cs="Times New Roman"/>
          <w:b/>
        </w:rPr>
        <w:t>nedokážeme sa kvalifikovane vyjadriť k presnejšiemu nastaveniu podmienky počtu odpracovaných rokov</w:t>
      </w:r>
      <w:r w:rsidRPr="00057923">
        <w:rPr>
          <w:rFonts w:ascii="Book Antiqua" w:eastAsia="Times New Roman" w:hAnsi="Book Antiqua" w:cs="Times New Roman"/>
        </w:rPr>
        <w:t xml:space="preserve">. Napriek tomu vieme s určitosťou povedať, že napríklad za obdobie štúdia mohol poistenec získať za strednú a vysokú školu spolu až 8 rokov dôchodkového poistenia, za základnú </w:t>
      </w:r>
      <w:r w:rsidRPr="00057923">
        <w:rPr>
          <w:rFonts w:ascii="Book Antiqua" w:eastAsia="Times New Roman" w:hAnsi="Book Antiqua" w:cs="Times New Roman"/>
        </w:rPr>
        <w:lastRenderedPageBreak/>
        <w:t xml:space="preserve">vojenskú službu až 2 roky dôchodkového poistenia, za </w:t>
      </w:r>
      <w:proofErr w:type="spellStart"/>
      <w:r w:rsidRPr="00057923">
        <w:rPr>
          <w:rFonts w:ascii="Book Antiqua" w:eastAsia="Times New Roman" w:hAnsi="Book Antiqua" w:cs="Times New Roman"/>
        </w:rPr>
        <w:t>nezamesnanosť</w:t>
      </w:r>
      <w:proofErr w:type="spellEnd"/>
      <w:r w:rsidRPr="00057923">
        <w:rPr>
          <w:rFonts w:ascii="Book Antiqua" w:eastAsia="Times New Roman" w:hAnsi="Book Antiqua" w:cs="Times New Roman"/>
        </w:rPr>
        <w:t xml:space="preserve"> až 11 rokov dôchodkového poistenia a samotná starostlivosť o dieťa/fyzickú osobu so ZŤP je bez limitu počtu získaných rokov. Teoreticky ak by sa prihliadalo aj na tieto obdobia potom môžu nastať situácie, že niekto dosiahne väčšiu časť z potrebnej doby odpracovaných rokov za tzv. „náhradné doby“. Nebudeme môcť vylúčiť ani extrém, že niekomu sa podarí splniť stanovenú podmienku len za rýdzo takéto obdobia.</w:t>
      </w:r>
    </w:p>
    <w:p w:rsidR="00057923" w:rsidRPr="00057923" w:rsidRDefault="00057923" w:rsidP="00057923">
      <w:pPr>
        <w:spacing w:after="200" w:line="276" w:lineRule="auto"/>
        <w:ind w:firstLine="708"/>
        <w:jc w:val="both"/>
        <w:rPr>
          <w:rFonts w:ascii="Book Antiqua" w:eastAsia="Times New Roman" w:hAnsi="Book Antiqua" w:cs="Times New Roman"/>
          <w:b/>
        </w:rPr>
      </w:pPr>
      <w:r w:rsidRPr="00057923">
        <w:rPr>
          <w:rFonts w:ascii="Book Antiqua" w:eastAsia="Times New Roman" w:hAnsi="Book Antiqua" w:cs="Times New Roman"/>
        </w:rPr>
        <w:t>Na základe súčasného správania sa dôchodcov môžeme s určitosťou predpokladať, že drvivá väčšina osôb, ktoré by splnili uvedenú podmienku na počet odpracovaných rokov odíde do starobného dôchodku, čo povedie k zníženiu efektívneho veku odchodu do dôchodku.</w:t>
      </w:r>
      <w:r w:rsidRPr="00057923">
        <w:rPr>
          <w:rFonts w:ascii="Book Antiqua" w:eastAsia="Times New Roman" w:hAnsi="Book Antiqua" w:cs="Times New Roman"/>
          <w:sz w:val="20"/>
          <w:szCs w:val="20"/>
        </w:rPr>
        <w:t xml:space="preserve"> </w:t>
      </w:r>
      <w:r w:rsidRPr="00057923">
        <w:rPr>
          <w:rFonts w:ascii="Book Antiqua" w:eastAsia="Times New Roman" w:hAnsi="Book Antiqua" w:cs="Times New Roman"/>
        </w:rPr>
        <w:t>Uvedený mechanizmus skoršieho odchodu po získaní určitého počtu rokov, by sa ťažšie aplikoval v II. pilieri, kde v súčasnosti neexistuje podmienka počtu získaných rokov a ak osoba odchádza v nižšom veku výsledná doživotná anuita by bola automaticky krátená (použitím úmrtnostných tabuliek, nakoľko osoba bude poberať anuitu dlhšie).</w:t>
      </w: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Kvantifikácia finančných dopadov nebola v súčasnosti k alternatíve A ani B zrealizovaná, nakoľko samotný finančný vplyv vo veľkej miere závisí od podrobnejšieho legislatívneho nastavenia, ktoré by bolo potrebné vzhľadom na vyššie uvedené komplikácie spresniť. </w:t>
      </w: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120" w:line="276" w:lineRule="auto"/>
        <w:jc w:val="both"/>
        <w:rPr>
          <w:rFonts w:ascii="Book Antiqua" w:eastAsia="Times New Roman" w:hAnsi="Book Antiqua" w:cs="Times New Roman"/>
          <w:b/>
          <w:i/>
        </w:rPr>
      </w:pPr>
      <w:r w:rsidRPr="00057923">
        <w:rPr>
          <w:rFonts w:ascii="Book Antiqua" w:eastAsia="Times New Roman" w:hAnsi="Book Antiqua" w:cs="Times New Roman"/>
          <w:b/>
          <w:i/>
        </w:rPr>
        <w:t>2.4 Záver ku kapitole 2</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Na záver k úvahám o možnom zjemňovaní podmienok nároku na predčasný starobný dôchodok treba zdôrazniť, že každé zjemnenie podmienok na predčasný starobný dôchodok podmýva snahu o predlžovanie efektívneho dôchodkového veku, ovplyvňuje primeranosť dôchodkov a negatívne vplýva na bilanciu dôchodkového systému. Keď sa poučíme z analýzy dát z minulosti, môžeme očakávať nárast počtu vyplácaných predčasných starobných dôchodkov a výdavkov na </w:t>
      </w:r>
      <w:proofErr w:type="spellStart"/>
      <w:r w:rsidRPr="00057923">
        <w:rPr>
          <w:rFonts w:ascii="Book Antiqua" w:eastAsia="Times New Roman" w:hAnsi="Book Antiqua" w:cs="Times New Roman"/>
        </w:rPr>
        <w:t>ne</w:t>
      </w:r>
      <w:proofErr w:type="spellEnd"/>
      <w:r w:rsidRPr="00057923">
        <w:rPr>
          <w:rFonts w:ascii="Book Antiqua" w:eastAsia="Times New Roman" w:hAnsi="Book Antiqua" w:cs="Times New Roman"/>
        </w:rPr>
        <w:t>.</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V budúcnosti je možné sa detailnejšie zaoberať konceptom alternatívnych podmienok odchodu do starobného dôchodku napr. získavaním dostatočne dlhého obdobia odpracovaných rokov, nakoľko v súčasnosti existujú pomerne výrazné nedostatky v údajovej základni, ktoré nám znemožňujú lepšie rozanalyzovať prípadné nastavenie odpracovaných rokov. Rovnako jestvujú mnohé legislatívne otázky a niektoré z prípadných riešení, by bolo vhodné konzultovať aj prostredníctvom celospoločenskej diskusie. </w:t>
      </w:r>
    </w:p>
    <w:p w:rsidR="00057923" w:rsidRPr="00057923" w:rsidRDefault="00057923" w:rsidP="00057923">
      <w:pPr>
        <w:spacing w:after="0" w:line="276" w:lineRule="auto"/>
        <w:ind w:firstLine="703"/>
        <w:jc w:val="both"/>
        <w:rPr>
          <w:rFonts w:ascii="Book Antiqua" w:eastAsia="Times New Roman" w:hAnsi="Book Antiqua" w:cs="Times New Roman"/>
        </w:rPr>
      </w:pPr>
      <w:r w:rsidRPr="00057923">
        <w:rPr>
          <w:rFonts w:ascii="Book Antiqua" w:eastAsia="Times New Roman" w:hAnsi="Book Antiqua" w:cs="Times New Roman"/>
        </w:rPr>
        <w:t xml:space="preserve">Z pohľadu primeranosti pripomíname tiež nasledovné: Aj keď sú podmienky nároku na dôchodok nastavené tak, že dôchodkové dávky sú určované z poistno-matematického hľadiska neutrálne s prihliadnutím na vek a predpoklad kratšieho alebo dlhšieho poberania dôchodku, niektoré osoby môžu podceniť svoje budúce finančné potreby a odísť príliš skoro z trhu práce s nepostačujúcimi dôchodkami (OECD, </w:t>
      </w:r>
      <w:proofErr w:type="spellStart"/>
      <w:r w:rsidRPr="00057923">
        <w:rPr>
          <w:rFonts w:ascii="Book Antiqua" w:eastAsia="Times New Roman" w:hAnsi="Book Antiqua" w:cs="Times New Roman"/>
        </w:rPr>
        <w:t>Pension</w:t>
      </w:r>
      <w:proofErr w:type="spellEnd"/>
      <w:r w:rsidRPr="00057923">
        <w:rPr>
          <w:rFonts w:ascii="Book Antiqua" w:eastAsia="Times New Roman" w:hAnsi="Book Antiqua" w:cs="Times New Roman"/>
        </w:rPr>
        <w:t xml:space="preserve"> at </w:t>
      </w:r>
      <w:proofErr w:type="spellStart"/>
      <w:r w:rsidRPr="00057923">
        <w:rPr>
          <w:rFonts w:ascii="Book Antiqua" w:eastAsia="Times New Roman" w:hAnsi="Book Antiqua" w:cs="Times New Roman"/>
        </w:rPr>
        <w:t>Glance</w:t>
      </w:r>
      <w:proofErr w:type="spellEnd"/>
      <w:r w:rsidRPr="00057923">
        <w:rPr>
          <w:rFonts w:ascii="Book Antiqua" w:eastAsia="Times New Roman" w:hAnsi="Book Antiqua" w:cs="Times New Roman"/>
        </w:rPr>
        <w:t>, 2017).</w:t>
      </w:r>
    </w:p>
    <w:p w:rsidR="00057923" w:rsidRPr="00057923" w:rsidRDefault="00057923" w:rsidP="00057923">
      <w:pPr>
        <w:spacing w:after="0" w:line="276" w:lineRule="auto"/>
        <w:ind w:firstLine="703"/>
        <w:jc w:val="both"/>
        <w:rPr>
          <w:rFonts w:ascii="Book Antiqua" w:eastAsia="Times New Roman" w:hAnsi="Book Antiqua" w:cs="Times New Roman"/>
        </w:rPr>
      </w:pPr>
    </w:p>
    <w:p w:rsidR="00057923" w:rsidRPr="00057923" w:rsidRDefault="00057923" w:rsidP="00057923">
      <w:pPr>
        <w:spacing w:after="0" w:line="276" w:lineRule="auto"/>
        <w:ind w:firstLine="703"/>
        <w:jc w:val="both"/>
        <w:rPr>
          <w:rFonts w:ascii="Book Antiqua" w:eastAsia="Times New Roman" w:hAnsi="Book Antiqua" w:cs="Times New Roman"/>
        </w:rPr>
      </w:pPr>
    </w:p>
    <w:p w:rsidR="00057923" w:rsidRPr="00057923" w:rsidRDefault="00057923" w:rsidP="00057923">
      <w:pPr>
        <w:spacing w:after="0" w:line="276" w:lineRule="auto"/>
        <w:ind w:firstLine="703"/>
        <w:jc w:val="both"/>
        <w:rPr>
          <w:rFonts w:ascii="Book Antiqua" w:eastAsia="Times New Roman" w:hAnsi="Book Antiqua" w:cs="Times New Roman"/>
        </w:rPr>
      </w:pPr>
    </w:p>
    <w:p w:rsidR="00057923" w:rsidRPr="00057923" w:rsidRDefault="00057923" w:rsidP="00057923">
      <w:pPr>
        <w:spacing w:after="0" w:line="276" w:lineRule="auto"/>
        <w:ind w:firstLine="703"/>
        <w:jc w:val="both"/>
        <w:rPr>
          <w:rFonts w:ascii="Book Antiqua" w:eastAsia="Times New Roman" w:hAnsi="Book Antiqua" w:cs="Times New Roman"/>
        </w:rPr>
      </w:pPr>
    </w:p>
    <w:p w:rsidR="00057923" w:rsidRPr="00057923" w:rsidRDefault="00057923" w:rsidP="00057923">
      <w:pPr>
        <w:spacing w:after="0" w:line="276" w:lineRule="auto"/>
        <w:ind w:firstLine="703"/>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b/>
          <w:sz w:val="24"/>
          <w:szCs w:val="24"/>
        </w:rPr>
      </w:pPr>
      <w:r w:rsidRPr="00057923">
        <w:rPr>
          <w:rFonts w:ascii="Book Antiqua" w:eastAsia="Times New Roman" w:hAnsi="Book Antiqua" w:cs="Times New Roman"/>
          <w:b/>
          <w:sz w:val="24"/>
          <w:szCs w:val="24"/>
        </w:rPr>
        <w:lastRenderedPageBreak/>
        <w:t>3. Zváženie možnosti postupného odchodu do dôchodku.</w:t>
      </w:r>
    </w:p>
    <w:p w:rsidR="00057923" w:rsidRPr="00057923" w:rsidRDefault="00057923" w:rsidP="00057923">
      <w:pPr>
        <w:spacing w:after="200" w:line="276" w:lineRule="auto"/>
        <w:jc w:val="both"/>
        <w:rPr>
          <w:rFonts w:ascii="Book Antiqua" w:eastAsia="Times New Roman" w:hAnsi="Book Antiqua" w:cs="Times New Roman"/>
          <w:b/>
        </w:rPr>
      </w:pPr>
      <w:r w:rsidRPr="00057923">
        <w:rPr>
          <w:rFonts w:ascii="Book Antiqua" w:eastAsia="Times New Roman" w:hAnsi="Book Antiqua" w:cs="Times New Roman"/>
          <w:b/>
          <w:i/>
        </w:rPr>
        <w:t>3.1 Popis možností kombinácie dôchodku a zárobku v súčasne platnej legislatívnej úprave</w:t>
      </w:r>
      <w:r w:rsidRPr="00057923">
        <w:rPr>
          <w:rFonts w:ascii="Book Antiqua" w:eastAsia="Times New Roman" w:hAnsi="Book Antiqua" w:cs="Times New Roman"/>
          <w:b/>
        </w:rPr>
        <w:t xml:space="preserve">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Podľa súčasnej legislatívy je možné popri poberaní starobného dôchodku súčasne vykonávať zárobkovú činnosť. O tejto možnosti sme hovorili už v podkapitole 1.1. Ako bolo vyššie v texte spomenuté pracujúci poberatelia starobného dôchodku si zhodnocujú svoje dôchodkové nároky o jednu polovicu získaných osobných mzdových bodov a tieto nároky sa im každoročne automaticky priznávajú v podobe zvýšenia sumy dôchodku. Okrem tejto možnosti samozrejme existuje aj možnosť, kedy poistenec po splnení podmienok nároku na starobný dôchodok pracuje a nepoberá dôchodok. V takýchto prípadoch si poistenec zhodnocuje svoje dôchodkové nároky o celú sumu získaných osobných mzdových bodov a navyše získava bonifikáciu v podobe zvýšenia sumy dôchodku o 0,5 % za každých celých 30 dní dôchodkového poistenia, ktoré získal po splnení podmienok nároku na starobný dôchodok. </w:t>
      </w: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t>Tabuľka 11:</w:t>
      </w:r>
      <w:r w:rsidRPr="00057923">
        <w:rPr>
          <w:rFonts w:ascii="Book Antiqua" w:eastAsia="Times New Roman" w:hAnsi="Book Antiqua" w:cs="Times New Roman"/>
        </w:rPr>
        <w:t xml:space="preserve"> Počet novopriznaných starobných dôchodkov, ktoré boli priznané k vzniku nároku a po vzniku nároku na starobný dôchodok a predčasných starobných dôchodkov</w:t>
      </w:r>
    </w:p>
    <w:tbl>
      <w:tblPr>
        <w:tblW w:w="5000" w:type="pct"/>
        <w:tblLayout w:type="fixed"/>
        <w:tblCellMar>
          <w:left w:w="70" w:type="dxa"/>
          <w:right w:w="70" w:type="dxa"/>
        </w:tblCellMar>
        <w:tblLook w:val="04A0" w:firstRow="1" w:lastRow="0" w:firstColumn="1" w:lastColumn="0" w:noHBand="0" w:noVBand="1"/>
      </w:tblPr>
      <w:tblGrid>
        <w:gridCol w:w="1880"/>
        <w:gridCol w:w="598"/>
        <w:gridCol w:w="598"/>
        <w:gridCol w:w="597"/>
        <w:gridCol w:w="599"/>
        <w:gridCol w:w="597"/>
        <w:gridCol w:w="597"/>
        <w:gridCol w:w="597"/>
        <w:gridCol w:w="599"/>
        <w:gridCol w:w="597"/>
        <w:gridCol w:w="597"/>
        <w:gridCol w:w="597"/>
        <w:gridCol w:w="597"/>
      </w:tblGrid>
      <w:tr w:rsidR="00057923" w:rsidRPr="00057923" w:rsidTr="00A62543">
        <w:trPr>
          <w:trHeight w:val="315"/>
        </w:trPr>
        <w:tc>
          <w:tcPr>
            <w:tcW w:w="1038" w:type="pct"/>
            <w:tcBorders>
              <w:top w:val="single" w:sz="8" w:space="0" w:color="auto"/>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 xml:space="preserve">Druh dôchodku </w:t>
            </w:r>
          </w:p>
        </w:tc>
        <w:tc>
          <w:tcPr>
            <w:tcW w:w="330"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2006</w:t>
            </w:r>
          </w:p>
        </w:tc>
        <w:tc>
          <w:tcPr>
            <w:tcW w:w="330"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2007</w:t>
            </w:r>
          </w:p>
        </w:tc>
        <w:tc>
          <w:tcPr>
            <w:tcW w:w="330"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2008</w:t>
            </w:r>
          </w:p>
        </w:tc>
        <w:tc>
          <w:tcPr>
            <w:tcW w:w="331"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2009</w:t>
            </w:r>
          </w:p>
        </w:tc>
        <w:tc>
          <w:tcPr>
            <w:tcW w:w="330"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2010</w:t>
            </w:r>
          </w:p>
        </w:tc>
        <w:tc>
          <w:tcPr>
            <w:tcW w:w="330"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2011</w:t>
            </w:r>
          </w:p>
        </w:tc>
        <w:tc>
          <w:tcPr>
            <w:tcW w:w="330"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2012</w:t>
            </w:r>
          </w:p>
        </w:tc>
        <w:tc>
          <w:tcPr>
            <w:tcW w:w="331"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2013</w:t>
            </w:r>
          </w:p>
        </w:tc>
        <w:tc>
          <w:tcPr>
            <w:tcW w:w="330"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2014</w:t>
            </w:r>
          </w:p>
        </w:tc>
        <w:tc>
          <w:tcPr>
            <w:tcW w:w="330"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2015</w:t>
            </w:r>
          </w:p>
        </w:tc>
        <w:tc>
          <w:tcPr>
            <w:tcW w:w="330"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2016</w:t>
            </w:r>
          </w:p>
        </w:tc>
        <w:tc>
          <w:tcPr>
            <w:tcW w:w="331" w:type="pct"/>
            <w:tcBorders>
              <w:top w:val="single" w:sz="8" w:space="0" w:color="auto"/>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000000"/>
                <w:sz w:val="20"/>
                <w:szCs w:val="20"/>
                <w:lang w:eastAsia="sk-SK"/>
              </w:rPr>
            </w:pPr>
            <w:r w:rsidRPr="00057923">
              <w:rPr>
                <w:rFonts w:ascii="Book Antiqua" w:eastAsia="Times New Roman" w:hAnsi="Book Antiqua" w:cs="Times New Roman"/>
                <w:b/>
                <w:bCs/>
                <w:color w:val="000000"/>
                <w:sz w:val="20"/>
                <w:szCs w:val="20"/>
                <w:lang w:eastAsia="sk-SK"/>
              </w:rPr>
              <w:t>2017</w:t>
            </w:r>
          </w:p>
        </w:tc>
      </w:tr>
      <w:tr w:rsidR="00057923" w:rsidRPr="00057923" w:rsidTr="00A62543">
        <w:trPr>
          <w:trHeight w:val="315"/>
        </w:trPr>
        <w:tc>
          <w:tcPr>
            <w:tcW w:w="1038"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 xml:space="preserve">Starobný dôchodok </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13 215</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20 996</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18 722</w:t>
            </w:r>
          </w:p>
        </w:tc>
        <w:tc>
          <w:tcPr>
            <w:tcW w:w="331"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17 477</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19 701</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13 555</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26 796</w:t>
            </w:r>
          </w:p>
        </w:tc>
        <w:tc>
          <w:tcPr>
            <w:tcW w:w="331"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22 833</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35 141</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31 039</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35 315</w:t>
            </w:r>
          </w:p>
        </w:tc>
        <w:tc>
          <w:tcPr>
            <w:tcW w:w="331"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35 310</w:t>
            </w:r>
          </w:p>
        </w:tc>
      </w:tr>
      <w:tr w:rsidR="00057923" w:rsidRPr="00057923" w:rsidTr="00A62543">
        <w:trPr>
          <w:trHeight w:val="315"/>
        </w:trPr>
        <w:tc>
          <w:tcPr>
            <w:tcW w:w="1038" w:type="pct"/>
            <w:tcBorders>
              <w:top w:val="nil"/>
              <w:left w:val="single" w:sz="8" w:space="0" w:color="auto"/>
              <w:bottom w:val="single" w:sz="8" w:space="0" w:color="auto"/>
              <w:right w:val="single" w:sz="8" w:space="0" w:color="auto"/>
            </w:tcBorders>
            <w:noWrap/>
            <w:vAlign w:val="center"/>
          </w:tcPr>
          <w:p w:rsidR="00057923" w:rsidRPr="00057923" w:rsidRDefault="00057923" w:rsidP="00057923">
            <w:pPr>
              <w:spacing w:after="0" w:line="240" w:lineRule="auto"/>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z toho priznaný k vzniku nároku</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11 955</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19 586</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18 139</w:t>
            </w:r>
          </w:p>
        </w:tc>
        <w:tc>
          <w:tcPr>
            <w:tcW w:w="331"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15 720</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19 177</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13 014</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26 003</w:t>
            </w:r>
          </w:p>
        </w:tc>
        <w:tc>
          <w:tcPr>
            <w:tcW w:w="331"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22 533</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34 503</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30 665</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34 691</w:t>
            </w:r>
          </w:p>
        </w:tc>
        <w:tc>
          <w:tcPr>
            <w:tcW w:w="331"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35 011</w:t>
            </w:r>
          </w:p>
        </w:tc>
      </w:tr>
      <w:tr w:rsidR="00057923" w:rsidRPr="00057923" w:rsidTr="00A62543">
        <w:trPr>
          <w:trHeight w:val="315"/>
        </w:trPr>
        <w:tc>
          <w:tcPr>
            <w:tcW w:w="1038" w:type="pct"/>
            <w:tcBorders>
              <w:top w:val="nil"/>
              <w:left w:val="single" w:sz="8" w:space="0" w:color="auto"/>
              <w:bottom w:val="single" w:sz="8" w:space="0" w:color="auto"/>
              <w:right w:val="single" w:sz="8" w:space="0" w:color="auto"/>
            </w:tcBorders>
            <w:noWrap/>
            <w:vAlign w:val="center"/>
          </w:tcPr>
          <w:p w:rsidR="00057923" w:rsidRPr="00057923" w:rsidRDefault="00057923" w:rsidP="00057923">
            <w:pPr>
              <w:spacing w:after="0" w:line="240" w:lineRule="auto"/>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 z celkového počtu SD</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90,5%</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93,3%</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96,9%</w:t>
            </w:r>
          </w:p>
        </w:tc>
        <w:tc>
          <w:tcPr>
            <w:tcW w:w="331"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89,9%</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97,3%</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96,0%</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97,0%</w:t>
            </w:r>
          </w:p>
        </w:tc>
        <w:tc>
          <w:tcPr>
            <w:tcW w:w="331"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98,7%</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98,2%</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98,8%</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98,2%</w:t>
            </w:r>
          </w:p>
        </w:tc>
        <w:tc>
          <w:tcPr>
            <w:tcW w:w="331"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99,2%</w:t>
            </w:r>
          </w:p>
        </w:tc>
      </w:tr>
      <w:tr w:rsidR="00057923" w:rsidRPr="00057923" w:rsidTr="00A62543">
        <w:trPr>
          <w:trHeight w:val="315"/>
        </w:trPr>
        <w:tc>
          <w:tcPr>
            <w:tcW w:w="1038" w:type="pct"/>
            <w:tcBorders>
              <w:top w:val="nil"/>
              <w:left w:val="single" w:sz="8" w:space="0" w:color="auto"/>
              <w:bottom w:val="single" w:sz="8" w:space="0" w:color="auto"/>
              <w:right w:val="single" w:sz="8" w:space="0" w:color="auto"/>
            </w:tcBorders>
            <w:noWrap/>
            <w:vAlign w:val="center"/>
          </w:tcPr>
          <w:p w:rsidR="00057923" w:rsidRPr="00057923" w:rsidRDefault="00057923" w:rsidP="00057923">
            <w:pPr>
              <w:spacing w:after="0" w:line="240" w:lineRule="auto"/>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z toho priznaných po vzniku nároku</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1 250</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1 410</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583</w:t>
            </w:r>
          </w:p>
        </w:tc>
        <w:tc>
          <w:tcPr>
            <w:tcW w:w="331"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1 757</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524</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541</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793</w:t>
            </w:r>
          </w:p>
        </w:tc>
        <w:tc>
          <w:tcPr>
            <w:tcW w:w="331"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i/>
                <w:iCs/>
                <w:color w:val="000000"/>
                <w:sz w:val="16"/>
                <w:szCs w:val="18"/>
                <w:lang w:eastAsia="sk-SK"/>
              </w:rPr>
            </w:pPr>
            <w:r w:rsidRPr="00057923">
              <w:rPr>
                <w:rFonts w:ascii="Book Antiqua" w:eastAsia="Times New Roman" w:hAnsi="Book Antiqua" w:cs="Times New Roman"/>
                <w:i/>
                <w:iCs/>
                <w:color w:val="000000"/>
                <w:sz w:val="16"/>
                <w:szCs w:val="18"/>
                <w:lang w:eastAsia="sk-SK"/>
              </w:rPr>
              <w:t>300</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638</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374</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624</w:t>
            </w:r>
          </w:p>
        </w:tc>
        <w:tc>
          <w:tcPr>
            <w:tcW w:w="331"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299</w:t>
            </w:r>
          </w:p>
        </w:tc>
      </w:tr>
      <w:tr w:rsidR="00057923" w:rsidRPr="00057923" w:rsidTr="00A62543">
        <w:trPr>
          <w:trHeight w:val="315"/>
        </w:trPr>
        <w:tc>
          <w:tcPr>
            <w:tcW w:w="1038" w:type="pct"/>
            <w:tcBorders>
              <w:top w:val="nil"/>
              <w:left w:val="single" w:sz="8" w:space="0" w:color="auto"/>
              <w:bottom w:val="single" w:sz="8" w:space="0" w:color="auto"/>
              <w:right w:val="single" w:sz="8" w:space="0" w:color="auto"/>
            </w:tcBorders>
            <w:noWrap/>
            <w:vAlign w:val="center"/>
          </w:tcPr>
          <w:p w:rsidR="00057923" w:rsidRPr="00057923" w:rsidRDefault="00057923" w:rsidP="00057923">
            <w:pPr>
              <w:spacing w:after="0" w:line="240" w:lineRule="auto"/>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 z celkového počtu SD</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9,5%</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6,7%</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3,1%</w:t>
            </w:r>
          </w:p>
        </w:tc>
        <w:tc>
          <w:tcPr>
            <w:tcW w:w="331"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10,1%</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2,7%</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4,0%</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3,0%</w:t>
            </w:r>
          </w:p>
        </w:tc>
        <w:tc>
          <w:tcPr>
            <w:tcW w:w="331"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1,3%</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1,8%</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1,2%</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1,8%</w:t>
            </w:r>
          </w:p>
        </w:tc>
        <w:tc>
          <w:tcPr>
            <w:tcW w:w="331"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b/>
                <w:i/>
                <w:iCs/>
                <w:color w:val="000000"/>
                <w:sz w:val="16"/>
                <w:szCs w:val="18"/>
                <w:lang w:eastAsia="sk-SK"/>
              </w:rPr>
            </w:pPr>
            <w:r w:rsidRPr="00057923">
              <w:rPr>
                <w:rFonts w:ascii="Book Antiqua" w:eastAsia="Times New Roman" w:hAnsi="Book Antiqua" w:cs="Times New Roman"/>
                <w:b/>
                <w:i/>
                <w:iCs/>
                <w:color w:val="000000"/>
                <w:sz w:val="16"/>
                <w:szCs w:val="18"/>
                <w:lang w:eastAsia="sk-SK"/>
              </w:rPr>
              <w:t>0,8%</w:t>
            </w:r>
          </w:p>
        </w:tc>
      </w:tr>
      <w:tr w:rsidR="00057923" w:rsidRPr="00057923" w:rsidTr="00A62543">
        <w:trPr>
          <w:trHeight w:val="315"/>
        </w:trPr>
        <w:tc>
          <w:tcPr>
            <w:tcW w:w="1038" w:type="pct"/>
            <w:tcBorders>
              <w:top w:val="nil"/>
              <w:left w:val="single" w:sz="8" w:space="0" w:color="auto"/>
              <w:bottom w:val="single" w:sz="8" w:space="0" w:color="auto"/>
              <w:right w:val="single" w:sz="8" w:space="0" w:color="auto"/>
            </w:tcBorders>
            <w:noWrap/>
            <w:vAlign w:val="center"/>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Predčasný starobný dôchodok pred nárokom na SD</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37 824</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19 672</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30 850</w:t>
            </w:r>
          </w:p>
        </w:tc>
        <w:tc>
          <w:tcPr>
            <w:tcW w:w="331"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21 402</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30 274</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12 673</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16 088</w:t>
            </w:r>
          </w:p>
        </w:tc>
        <w:tc>
          <w:tcPr>
            <w:tcW w:w="331"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14 953</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15 587</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14 362</w:t>
            </w:r>
          </w:p>
        </w:tc>
        <w:tc>
          <w:tcPr>
            <w:tcW w:w="330"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15 306</w:t>
            </w:r>
          </w:p>
        </w:tc>
        <w:tc>
          <w:tcPr>
            <w:tcW w:w="331" w:type="pct"/>
            <w:tcBorders>
              <w:top w:val="nil"/>
              <w:left w:val="nil"/>
              <w:bottom w:val="single" w:sz="8" w:space="0" w:color="auto"/>
              <w:right w:val="single" w:sz="8" w:space="0" w:color="auto"/>
            </w:tcBorders>
            <w:noWrap/>
            <w:vAlign w:val="center"/>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14 378</w:t>
            </w:r>
          </w:p>
        </w:tc>
      </w:tr>
      <w:tr w:rsidR="00057923" w:rsidRPr="00057923" w:rsidTr="00A62543">
        <w:trPr>
          <w:trHeight w:val="315"/>
        </w:trPr>
        <w:tc>
          <w:tcPr>
            <w:tcW w:w="1038"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spolu SD+PSD</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51 039</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40 668</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49 572</w:t>
            </w:r>
          </w:p>
        </w:tc>
        <w:tc>
          <w:tcPr>
            <w:tcW w:w="331"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38 879</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49 975</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26 228</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42 884</w:t>
            </w:r>
          </w:p>
        </w:tc>
        <w:tc>
          <w:tcPr>
            <w:tcW w:w="331"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37 786</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50 728</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45 401</w:t>
            </w:r>
          </w:p>
        </w:tc>
        <w:tc>
          <w:tcPr>
            <w:tcW w:w="330"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50 621</w:t>
            </w:r>
          </w:p>
        </w:tc>
        <w:tc>
          <w:tcPr>
            <w:tcW w:w="331"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right"/>
              <w:rPr>
                <w:rFonts w:ascii="Book Antiqua" w:eastAsia="Times New Roman" w:hAnsi="Book Antiqua" w:cs="Times New Roman"/>
                <w:color w:val="000000"/>
                <w:sz w:val="16"/>
                <w:szCs w:val="18"/>
                <w:lang w:eastAsia="sk-SK"/>
              </w:rPr>
            </w:pPr>
            <w:r w:rsidRPr="00057923">
              <w:rPr>
                <w:rFonts w:ascii="Book Antiqua" w:eastAsia="Times New Roman" w:hAnsi="Book Antiqua" w:cs="Times New Roman"/>
                <w:color w:val="000000"/>
                <w:sz w:val="16"/>
                <w:szCs w:val="18"/>
                <w:lang w:eastAsia="sk-SK"/>
              </w:rPr>
              <w:t>49 688</w:t>
            </w:r>
          </w:p>
        </w:tc>
      </w:tr>
    </w:tbl>
    <w:p w:rsidR="00057923" w:rsidRPr="00057923" w:rsidRDefault="00057923" w:rsidP="00057923">
      <w:pPr>
        <w:spacing w:after="200" w:line="276" w:lineRule="auto"/>
        <w:jc w:val="both"/>
        <w:rPr>
          <w:rFonts w:ascii="Book Antiqua" w:eastAsia="Times New Roman" w:hAnsi="Book Antiqua" w:cs="Times New Roman"/>
          <w:i/>
          <w:sz w:val="20"/>
        </w:rPr>
      </w:pPr>
      <w:r w:rsidRPr="00057923">
        <w:rPr>
          <w:rFonts w:ascii="Book Antiqua" w:eastAsia="Times New Roman" w:hAnsi="Book Antiqua" w:cs="Times New Roman"/>
          <w:i/>
          <w:sz w:val="20"/>
        </w:rPr>
        <w:t>Zdroj: Sociálna poisťovňa</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Počet novopriznaných dôchodkov, ktoré boli priznané </w:t>
      </w:r>
      <w:r w:rsidRPr="00057923">
        <w:rPr>
          <w:rFonts w:ascii="Book Antiqua" w:eastAsia="Times New Roman" w:hAnsi="Book Antiqua" w:cs="Times New Roman"/>
          <w:b/>
        </w:rPr>
        <w:t>po splnení podmienok nároku na starobný dôchodok je veľmi nízky</w:t>
      </w:r>
      <w:r w:rsidRPr="00057923">
        <w:rPr>
          <w:rFonts w:ascii="Book Antiqua" w:eastAsia="Times New Roman" w:hAnsi="Book Antiqua" w:cs="Times New Roman"/>
        </w:rPr>
        <w:t xml:space="preserve">, v posledných rokoch sa pohybuje na úrovni približne 0,8 % – 2 % z celkového počtu novopriznaných starobných dôchodkov. Vývoj predčasných starobných dôchodkov je interpretovaný v podkapitole 2.2.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Súbeh medzi výkonom zárobkovej činnosti – dôchodkovým poistením a poberaním starobného dôchodku je možný a od 1. júla 2018 s istými obmedzeniami aj v prípade poberania </w:t>
      </w:r>
      <w:hyperlink w:anchor="subeh_PSD_zarobok" w:history="1">
        <w:r w:rsidRPr="00057923">
          <w:rPr>
            <w:rFonts w:ascii="Book Antiqua" w:eastAsia="Times New Roman" w:hAnsi="Book Antiqua" w:cs="Times New Roman"/>
          </w:rPr>
          <w:t>predčasného starobného dôchodku</w:t>
        </w:r>
      </w:hyperlink>
      <w:r w:rsidRPr="00057923">
        <w:rPr>
          <w:rFonts w:ascii="Book Antiqua" w:eastAsia="Times New Roman" w:hAnsi="Book Antiqua" w:cs="Times New Roman"/>
        </w:rPr>
        <w:t xml:space="preserve"> (viď Box 3 nižšie). </w:t>
      </w: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t>Tabuľka 12:</w:t>
      </w:r>
      <w:r w:rsidRPr="00057923">
        <w:rPr>
          <w:rFonts w:ascii="Book Antiqua" w:eastAsia="Times New Roman" w:hAnsi="Book Antiqua" w:cs="Times New Roman"/>
        </w:rPr>
        <w:t xml:space="preserve"> Počet pracujúcich starobných dôchodcov </w:t>
      </w:r>
    </w:p>
    <w:tbl>
      <w:tblPr>
        <w:tblW w:w="9087" w:type="dxa"/>
        <w:tblInd w:w="55" w:type="dxa"/>
        <w:tblCellMar>
          <w:left w:w="70" w:type="dxa"/>
          <w:right w:w="70" w:type="dxa"/>
        </w:tblCellMar>
        <w:tblLook w:val="04A0" w:firstRow="1" w:lastRow="0" w:firstColumn="1" w:lastColumn="0" w:noHBand="0" w:noVBand="1"/>
      </w:tblPr>
      <w:tblGrid>
        <w:gridCol w:w="2709"/>
        <w:gridCol w:w="1134"/>
        <w:gridCol w:w="1275"/>
        <w:gridCol w:w="1360"/>
        <w:gridCol w:w="1360"/>
        <w:gridCol w:w="1249"/>
      </w:tblGrid>
      <w:tr w:rsidR="00057923" w:rsidRPr="00057923" w:rsidTr="00A62543">
        <w:trPr>
          <w:trHeight w:val="27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Arial"/>
                <w:sz w:val="20"/>
                <w:szCs w:val="20"/>
                <w:lang w:eastAsia="sk-SK"/>
              </w:rPr>
            </w:pPr>
          </w:p>
        </w:tc>
        <w:tc>
          <w:tcPr>
            <w:tcW w:w="1134" w:type="dxa"/>
            <w:tcBorders>
              <w:top w:val="single" w:sz="8" w:space="0" w:color="auto"/>
              <w:left w:val="single" w:sz="4" w:space="0" w:color="auto"/>
              <w:bottom w:val="nil"/>
              <w:right w:val="single" w:sz="4" w:space="0" w:color="auto"/>
            </w:tcBorders>
            <w:noWrap/>
            <w:vAlign w:val="bottom"/>
            <w:hideMark/>
          </w:tcPr>
          <w:p w:rsidR="00057923" w:rsidRPr="00057923" w:rsidRDefault="00057923" w:rsidP="00057923">
            <w:pPr>
              <w:spacing w:after="0" w:line="240" w:lineRule="auto"/>
              <w:jc w:val="right"/>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2013</w:t>
            </w:r>
          </w:p>
        </w:tc>
        <w:tc>
          <w:tcPr>
            <w:tcW w:w="1275" w:type="dxa"/>
            <w:tcBorders>
              <w:top w:val="single" w:sz="8" w:space="0" w:color="auto"/>
              <w:left w:val="nil"/>
              <w:bottom w:val="nil"/>
              <w:right w:val="single" w:sz="4" w:space="0" w:color="auto"/>
            </w:tcBorders>
            <w:noWrap/>
            <w:vAlign w:val="bottom"/>
            <w:hideMark/>
          </w:tcPr>
          <w:p w:rsidR="00057923" w:rsidRPr="00057923" w:rsidRDefault="00057923" w:rsidP="00057923">
            <w:pPr>
              <w:spacing w:after="0" w:line="240" w:lineRule="auto"/>
              <w:jc w:val="right"/>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2014</w:t>
            </w:r>
          </w:p>
        </w:tc>
        <w:tc>
          <w:tcPr>
            <w:tcW w:w="1360" w:type="dxa"/>
            <w:tcBorders>
              <w:top w:val="single" w:sz="8" w:space="0" w:color="auto"/>
              <w:left w:val="nil"/>
              <w:bottom w:val="nil"/>
              <w:right w:val="single" w:sz="4" w:space="0" w:color="auto"/>
            </w:tcBorders>
            <w:noWrap/>
            <w:vAlign w:val="bottom"/>
            <w:hideMark/>
          </w:tcPr>
          <w:p w:rsidR="00057923" w:rsidRPr="00057923" w:rsidRDefault="00057923" w:rsidP="00057923">
            <w:pPr>
              <w:spacing w:after="0" w:line="240" w:lineRule="auto"/>
              <w:jc w:val="right"/>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2015</w:t>
            </w:r>
          </w:p>
        </w:tc>
        <w:tc>
          <w:tcPr>
            <w:tcW w:w="1360" w:type="dxa"/>
            <w:tcBorders>
              <w:top w:val="single" w:sz="8" w:space="0" w:color="auto"/>
              <w:left w:val="nil"/>
              <w:bottom w:val="nil"/>
              <w:right w:val="single" w:sz="4" w:space="0" w:color="auto"/>
            </w:tcBorders>
            <w:noWrap/>
            <w:vAlign w:val="bottom"/>
            <w:hideMark/>
          </w:tcPr>
          <w:p w:rsidR="00057923" w:rsidRPr="00057923" w:rsidRDefault="00057923" w:rsidP="00057923">
            <w:pPr>
              <w:spacing w:after="0" w:line="240" w:lineRule="auto"/>
              <w:jc w:val="right"/>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2016</w:t>
            </w:r>
          </w:p>
        </w:tc>
        <w:tc>
          <w:tcPr>
            <w:tcW w:w="1249" w:type="dxa"/>
            <w:tcBorders>
              <w:top w:val="single" w:sz="8" w:space="0" w:color="auto"/>
              <w:left w:val="nil"/>
              <w:bottom w:val="nil"/>
              <w:right w:val="single" w:sz="8" w:space="0" w:color="auto"/>
            </w:tcBorders>
            <w:noWrap/>
            <w:vAlign w:val="bottom"/>
            <w:hideMark/>
          </w:tcPr>
          <w:p w:rsidR="00057923" w:rsidRPr="00057923" w:rsidRDefault="00057923" w:rsidP="00057923">
            <w:pPr>
              <w:spacing w:after="0" w:line="240" w:lineRule="auto"/>
              <w:jc w:val="right"/>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2017</w:t>
            </w:r>
          </w:p>
        </w:tc>
      </w:tr>
      <w:tr w:rsidR="00057923" w:rsidRPr="00057923" w:rsidTr="00A62543">
        <w:trPr>
          <w:trHeight w:val="255"/>
        </w:trPr>
        <w:tc>
          <w:tcPr>
            <w:tcW w:w="2709" w:type="dxa"/>
            <w:tcBorders>
              <w:top w:val="single" w:sz="4" w:space="0" w:color="auto"/>
              <w:left w:val="single" w:sz="4" w:space="0" w:color="auto"/>
              <w:bottom w:val="single" w:sz="4" w:space="0" w:color="auto"/>
              <w:right w:val="single" w:sz="4" w:space="0" w:color="auto"/>
            </w:tcBorders>
            <w:noWrap/>
            <w:vAlign w:val="bottom"/>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lastRenderedPageBreak/>
              <w:t>Priemerný mesačný počet pracujúcich starobných dôchodcov</w:t>
            </w:r>
          </w:p>
        </w:tc>
        <w:tc>
          <w:tcPr>
            <w:tcW w:w="1134" w:type="dxa"/>
            <w:tcBorders>
              <w:top w:val="single" w:sz="8" w:space="0" w:color="auto"/>
              <w:left w:val="single" w:sz="4" w:space="0" w:color="auto"/>
              <w:bottom w:val="single" w:sz="4" w:space="0" w:color="auto"/>
              <w:right w:val="single" w:sz="4" w:space="0" w:color="auto"/>
            </w:tcBorders>
            <w:noWrap/>
            <w:vAlign w:val="bottom"/>
          </w:tcPr>
          <w:p w:rsidR="00057923" w:rsidRPr="00057923" w:rsidRDefault="00057923" w:rsidP="00057923">
            <w:pPr>
              <w:spacing w:after="0" w:line="240"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118 838</w:t>
            </w:r>
          </w:p>
        </w:tc>
        <w:tc>
          <w:tcPr>
            <w:tcW w:w="1275" w:type="dxa"/>
            <w:tcBorders>
              <w:top w:val="single" w:sz="8" w:space="0" w:color="auto"/>
              <w:left w:val="nil"/>
              <w:bottom w:val="single" w:sz="4" w:space="0" w:color="auto"/>
              <w:right w:val="single" w:sz="4" w:space="0" w:color="auto"/>
            </w:tcBorders>
            <w:noWrap/>
            <w:vAlign w:val="bottom"/>
          </w:tcPr>
          <w:p w:rsidR="00057923" w:rsidRPr="00057923" w:rsidRDefault="00057923" w:rsidP="00057923">
            <w:pPr>
              <w:spacing w:after="0" w:line="240"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125 940</w:t>
            </w:r>
          </w:p>
        </w:tc>
        <w:tc>
          <w:tcPr>
            <w:tcW w:w="1360" w:type="dxa"/>
            <w:tcBorders>
              <w:top w:val="single" w:sz="8" w:space="0" w:color="auto"/>
              <w:left w:val="nil"/>
              <w:bottom w:val="single" w:sz="4" w:space="0" w:color="auto"/>
              <w:right w:val="single" w:sz="4" w:space="0" w:color="auto"/>
            </w:tcBorders>
            <w:noWrap/>
            <w:vAlign w:val="bottom"/>
          </w:tcPr>
          <w:p w:rsidR="00057923" w:rsidRPr="00057923" w:rsidRDefault="00057923" w:rsidP="00057923">
            <w:pPr>
              <w:spacing w:after="0" w:line="240"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126 675</w:t>
            </w:r>
          </w:p>
        </w:tc>
        <w:tc>
          <w:tcPr>
            <w:tcW w:w="1360" w:type="dxa"/>
            <w:tcBorders>
              <w:top w:val="single" w:sz="8" w:space="0" w:color="auto"/>
              <w:left w:val="nil"/>
              <w:bottom w:val="single" w:sz="4" w:space="0" w:color="auto"/>
              <w:right w:val="single" w:sz="4" w:space="0" w:color="auto"/>
            </w:tcBorders>
            <w:noWrap/>
            <w:vAlign w:val="bottom"/>
          </w:tcPr>
          <w:p w:rsidR="00057923" w:rsidRPr="00057923" w:rsidRDefault="00057923" w:rsidP="00057923">
            <w:pPr>
              <w:spacing w:after="0" w:line="240"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133 545</w:t>
            </w:r>
          </w:p>
        </w:tc>
        <w:tc>
          <w:tcPr>
            <w:tcW w:w="1249" w:type="dxa"/>
            <w:tcBorders>
              <w:top w:val="single" w:sz="8" w:space="0" w:color="auto"/>
              <w:left w:val="nil"/>
              <w:bottom w:val="single" w:sz="4" w:space="0" w:color="auto"/>
              <w:right w:val="single" w:sz="8" w:space="0" w:color="auto"/>
            </w:tcBorders>
            <w:noWrap/>
            <w:vAlign w:val="bottom"/>
          </w:tcPr>
          <w:p w:rsidR="00057923" w:rsidRPr="00057923" w:rsidRDefault="00057923" w:rsidP="00057923">
            <w:pPr>
              <w:spacing w:after="0" w:line="240"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138 445</w:t>
            </w:r>
          </w:p>
        </w:tc>
      </w:tr>
      <w:tr w:rsidR="00057923" w:rsidRPr="00057923" w:rsidTr="00A62543">
        <w:trPr>
          <w:trHeight w:val="255"/>
        </w:trPr>
        <w:tc>
          <w:tcPr>
            <w:tcW w:w="2709" w:type="dxa"/>
            <w:tcBorders>
              <w:top w:val="single" w:sz="4" w:space="0" w:color="auto"/>
              <w:left w:val="single" w:sz="4" w:space="0" w:color="auto"/>
              <w:bottom w:val="single" w:sz="4" w:space="0" w:color="auto"/>
              <w:right w:val="single" w:sz="4" w:space="0" w:color="auto"/>
            </w:tcBorders>
            <w:noWrap/>
            <w:vAlign w:val="bottom"/>
          </w:tcPr>
          <w:p w:rsidR="00057923" w:rsidRPr="00057923" w:rsidRDefault="00057923" w:rsidP="00057923">
            <w:pPr>
              <w:spacing w:after="0" w:line="240" w:lineRule="auto"/>
              <w:rPr>
                <w:rFonts w:ascii="Book Antiqua" w:eastAsia="Times New Roman" w:hAnsi="Book Antiqua" w:cs="Arial"/>
                <w:i/>
                <w:iCs/>
                <w:sz w:val="18"/>
                <w:szCs w:val="18"/>
                <w:lang w:eastAsia="sk-SK"/>
              </w:rPr>
            </w:pPr>
            <w:r w:rsidRPr="00057923">
              <w:rPr>
                <w:rFonts w:ascii="Book Antiqua" w:eastAsia="Times New Roman" w:hAnsi="Book Antiqua" w:cs="Arial"/>
                <w:i/>
                <w:iCs/>
                <w:sz w:val="18"/>
                <w:szCs w:val="18"/>
                <w:lang w:eastAsia="sk-SK"/>
              </w:rPr>
              <w:t>medziročná zmena</w:t>
            </w:r>
          </w:p>
        </w:tc>
        <w:tc>
          <w:tcPr>
            <w:tcW w:w="1134" w:type="dxa"/>
            <w:tcBorders>
              <w:top w:val="nil"/>
              <w:left w:val="single" w:sz="4" w:space="0" w:color="auto"/>
              <w:bottom w:val="single" w:sz="4" w:space="0" w:color="auto"/>
              <w:right w:val="single" w:sz="4" w:space="0" w:color="auto"/>
            </w:tcBorders>
            <w:noWrap/>
            <w:vAlign w:val="bottom"/>
          </w:tcPr>
          <w:p w:rsidR="00057923" w:rsidRPr="00057923" w:rsidRDefault="00057923" w:rsidP="00057923">
            <w:pPr>
              <w:spacing w:after="0" w:line="240" w:lineRule="auto"/>
              <w:jc w:val="right"/>
              <w:rPr>
                <w:rFonts w:ascii="Book Antiqua" w:eastAsia="Times New Roman" w:hAnsi="Book Antiqua" w:cs="Arial"/>
                <w:i/>
                <w:iCs/>
                <w:sz w:val="18"/>
                <w:szCs w:val="18"/>
                <w:lang w:eastAsia="sk-SK"/>
              </w:rPr>
            </w:pPr>
            <w:r w:rsidRPr="00057923">
              <w:rPr>
                <w:rFonts w:ascii="Book Antiqua" w:eastAsia="Times New Roman" w:hAnsi="Book Antiqua" w:cs="Arial"/>
                <w:i/>
                <w:iCs/>
                <w:sz w:val="18"/>
                <w:szCs w:val="18"/>
                <w:lang w:eastAsia="sk-SK"/>
              </w:rPr>
              <w:t>-</w:t>
            </w:r>
          </w:p>
        </w:tc>
        <w:tc>
          <w:tcPr>
            <w:tcW w:w="1275" w:type="dxa"/>
            <w:tcBorders>
              <w:top w:val="nil"/>
              <w:left w:val="nil"/>
              <w:bottom w:val="single" w:sz="4" w:space="0" w:color="auto"/>
              <w:right w:val="single" w:sz="4" w:space="0" w:color="auto"/>
            </w:tcBorders>
            <w:noWrap/>
            <w:vAlign w:val="bottom"/>
          </w:tcPr>
          <w:p w:rsidR="00057923" w:rsidRPr="00057923" w:rsidRDefault="00057923" w:rsidP="00057923">
            <w:pPr>
              <w:spacing w:after="0" w:line="240" w:lineRule="auto"/>
              <w:jc w:val="right"/>
              <w:rPr>
                <w:rFonts w:ascii="Book Antiqua" w:eastAsia="Times New Roman" w:hAnsi="Book Antiqua" w:cs="Arial"/>
                <w:i/>
                <w:iCs/>
                <w:sz w:val="18"/>
                <w:szCs w:val="18"/>
                <w:lang w:eastAsia="sk-SK"/>
              </w:rPr>
            </w:pPr>
            <w:r w:rsidRPr="00057923">
              <w:rPr>
                <w:rFonts w:ascii="Book Antiqua" w:eastAsia="Times New Roman" w:hAnsi="Book Antiqua" w:cs="Arial"/>
                <w:i/>
                <w:iCs/>
                <w:sz w:val="18"/>
                <w:szCs w:val="18"/>
                <w:lang w:eastAsia="sk-SK"/>
              </w:rPr>
              <w:t>5,98%</w:t>
            </w:r>
          </w:p>
        </w:tc>
        <w:tc>
          <w:tcPr>
            <w:tcW w:w="1360" w:type="dxa"/>
            <w:tcBorders>
              <w:top w:val="nil"/>
              <w:left w:val="nil"/>
              <w:bottom w:val="single" w:sz="4" w:space="0" w:color="auto"/>
              <w:right w:val="single" w:sz="4" w:space="0" w:color="auto"/>
            </w:tcBorders>
            <w:noWrap/>
            <w:vAlign w:val="bottom"/>
          </w:tcPr>
          <w:p w:rsidR="00057923" w:rsidRPr="00057923" w:rsidRDefault="00057923" w:rsidP="00057923">
            <w:pPr>
              <w:spacing w:after="0" w:line="240" w:lineRule="auto"/>
              <w:jc w:val="right"/>
              <w:rPr>
                <w:rFonts w:ascii="Book Antiqua" w:eastAsia="Times New Roman" w:hAnsi="Book Antiqua" w:cs="Arial"/>
                <w:i/>
                <w:iCs/>
                <w:sz w:val="18"/>
                <w:szCs w:val="18"/>
                <w:lang w:eastAsia="sk-SK"/>
              </w:rPr>
            </w:pPr>
            <w:r w:rsidRPr="00057923">
              <w:rPr>
                <w:rFonts w:ascii="Book Antiqua" w:eastAsia="Times New Roman" w:hAnsi="Book Antiqua" w:cs="Arial"/>
                <w:i/>
                <w:iCs/>
                <w:sz w:val="18"/>
                <w:szCs w:val="18"/>
                <w:lang w:eastAsia="sk-SK"/>
              </w:rPr>
              <w:t>0,58%</w:t>
            </w:r>
          </w:p>
        </w:tc>
        <w:tc>
          <w:tcPr>
            <w:tcW w:w="1360" w:type="dxa"/>
            <w:tcBorders>
              <w:top w:val="nil"/>
              <w:left w:val="nil"/>
              <w:bottom w:val="single" w:sz="4" w:space="0" w:color="auto"/>
              <w:right w:val="single" w:sz="4" w:space="0" w:color="auto"/>
            </w:tcBorders>
            <w:noWrap/>
            <w:vAlign w:val="bottom"/>
          </w:tcPr>
          <w:p w:rsidR="00057923" w:rsidRPr="00057923" w:rsidRDefault="00057923" w:rsidP="00057923">
            <w:pPr>
              <w:spacing w:after="0" w:line="240" w:lineRule="auto"/>
              <w:jc w:val="right"/>
              <w:rPr>
                <w:rFonts w:ascii="Book Antiqua" w:eastAsia="Times New Roman" w:hAnsi="Book Antiqua" w:cs="Arial"/>
                <w:i/>
                <w:iCs/>
                <w:sz w:val="18"/>
                <w:szCs w:val="18"/>
                <w:lang w:eastAsia="sk-SK"/>
              </w:rPr>
            </w:pPr>
            <w:r w:rsidRPr="00057923">
              <w:rPr>
                <w:rFonts w:ascii="Book Antiqua" w:eastAsia="Times New Roman" w:hAnsi="Book Antiqua" w:cs="Arial"/>
                <w:i/>
                <w:iCs/>
                <w:sz w:val="18"/>
                <w:szCs w:val="18"/>
                <w:lang w:eastAsia="sk-SK"/>
              </w:rPr>
              <w:t>5,42%</w:t>
            </w:r>
          </w:p>
        </w:tc>
        <w:tc>
          <w:tcPr>
            <w:tcW w:w="1249" w:type="dxa"/>
            <w:tcBorders>
              <w:top w:val="nil"/>
              <w:left w:val="nil"/>
              <w:bottom w:val="single" w:sz="4" w:space="0" w:color="auto"/>
              <w:right w:val="single" w:sz="8" w:space="0" w:color="auto"/>
            </w:tcBorders>
            <w:noWrap/>
            <w:vAlign w:val="bottom"/>
          </w:tcPr>
          <w:p w:rsidR="00057923" w:rsidRPr="00057923" w:rsidRDefault="00057923" w:rsidP="00057923">
            <w:pPr>
              <w:spacing w:after="0" w:line="240" w:lineRule="auto"/>
              <w:jc w:val="right"/>
              <w:rPr>
                <w:rFonts w:ascii="Book Antiqua" w:eastAsia="Times New Roman" w:hAnsi="Book Antiqua" w:cs="Arial"/>
                <w:i/>
                <w:iCs/>
                <w:sz w:val="18"/>
                <w:szCs w:val="18"/>
                <w:lang w:eastAsia="sk-SK"/>
              </w:rPr>
            </w:pPr>
            <w:r w:rsidRPr="00057923">
              <w:rPr>
                <w:rFonts w:ascii="Book Antiqua" w:eastAsia="Times New Roman" w:hAnsi="Book Antiqua" w:cs="Arial"/>
                <w:i/>
                <w:iCs/>
                <w:sz w:val="18"/>
                <w:szCs w:val="18"/>
                <w:lang w:eastAsia="sk-SK"/>
              </w:rPr>
              <w:t>3,67%</w:t>
            </w:r>
          </w:p>
        </w:tc>
      </w:tr>
    </w:tbl>
    <w:p w:rsidR="00057923" w:rsidRPr="00057923" w:rsidRDefault="00057923" w:rsidP="00057923">
      <w:pPr>
        <w:spacing w:after="200" w:line="276" w:lineRule="auto"/>
        <w:jc w:val="both"/>
        <w:rPr>
          <w:rFonts w:ascii="Book Antiqua" w:eastAsia="Times New Roman" w:hAnsi="Book Antiqua" w:cs="Times New Roman"/>
          <w:i/>
          <w:sz w:val="20"/>
        </w:rPr>
      </w:pPr>
      <w:r w:rsidRPr="00057923">
        <w:rPr>
          <w:rFonts w:ascii="Book Antiqua" w:eastAsia="Times New Roman" w:hAnsi="Book Antiqua" w:cs="Times New Roman"/>
          <w:i/>
          <w:sz w:val="20"/>
        </w:rPr>
        <w:t>Zdroj: Sociálna poisťovňa</w:t>
      </w:r>
    </w:p>
    <w:p w:rsidR="00057923" w:rsidRPr="00057923" w:rsidRDefault="00057923" w:rsidP="00057923">
      <w:pPr>
        <w:spacing w:after="200" w:line="276" w:lineRule="auto"/>
        <w:ind w:firstLine="708"/>
        <w:jc w:val="both"/>
        <w:rPr>
          <w:rFonts w:ascii="Book Antiqua" w:eastAsia="Times New Roman" w:hAnsi="Book Antiqua" w:cs="Times New Roman"/>
          <w:b/>
        </w:rPr>
      </w:pPr>
      <w:r w:rsidRPr="00057923">
        <w:rPr>
          <w:rFonts w:ascii="Book Antiqua" w:eastAsia="Times New Roman" w:hAnsi="Book Antiqua" w:cs="Times New Roman"/>
        </w:rPr>
        <w:t xml:space="preserve">Na základe historického vývoja môžeme konštatovať, že </w:t>
      </w:r>
      <w:r w:rsidRPr="00057923">
        <w:rPr>
          <w:rFonts w:ascii="Book Antiqua" w:eastAsia="Times New Roman" w:hAnsi="Book Antiqua" w:cs="Times New Roman"/>
          <w:b/>
        </w:rPr>
        <w:t>počet pracujúcich poberateľov starobných  dôchodkov v posledných rokoch stúpa</w:t>
      </w:r>
      <w:r w:rsidRPr="00057923">
        <w:rPr>
          <w:rFonts w:ascii="Book Antiqua" w:eastAsia="Times New Roman" w:hAnsi="Book Antiqua" w:cs="Times New Roman"/>
        </w:rPr>
        <w:t xml:space="preserve">, t. j. rovnako ako ostatné skupiny obyvateľstva profitujú zo zlepšovania situácie na trhu práce. Taktiež s prihliadnutím na Tabuľku 11 možno konštatovať, že osoby preferujú ako </w:t>
      </w:r>
      <w:r w:rsidRPr="00057923">
        <w:rPr>
          <w:rFonts w:ascii="Book Antiqua" w:eastAsia="Times New Roman" w:hAnsi="Book Antiqua" w:cs="Times New Roman"/>
          <w:b/>
        </w:rPr>
        <w:t xml:space="preserve">flexibilnú formu odchodu do dôchodku kombinovanie príjmu zo zárobkovej činnosti spolu s poberaním starobného dôchodku a naopak takmer vôbec nevyužívajú výkon zárobkovej činnosti po vzniku nároku na starobný dôchodok bez poberania starobného dôchodku.  </w:t>
      </w:r>
    </w:p>
    <w:p w:rsidR="00057923" w:rsidRPr="00057923" w:rsidRDefault="00057923" w:rsidP="00057923">
      <w:pPr>
        <w:spacing w:after="0" w:line="276" w:lineRule="auto"/>
        <w:ind w:firstLine="708"/>
        <w:jc w:val="both"/>
        <w:rPr>
          <w:rFonts w:ascii="Book Antiqua" w:eastAsia="Times New Roman" w:hAnsi="Book Antiqua" w:cs="Times New Roman"/>
          <w:i/>
        </w:rPr>
      </w:pPr>
      <w:r w:rsidRPr="00057923">
        <w:rPr>
          <w:rFonts w:ascii="Book Antiqua" w:eastAsia="Times New Roman" w:hAnsi="Book Antiqua" w:cs="Times New Roman"/>
        </w:rPr>
        <w:t xml:space="preserve">Jednou z často kladených otázok od pracujúcich starobných dôchodcov je aj to, prečo pri súčasnom poberaní dôchodku a výkone zárobkovej činnosti sa zhodnocujú ich dôchodkové nároky len o polovicu (50 %) osobných mzdových bodov, keď platia plnú sumu poistného na starobné poistenie. Jedným z argumentov pre túto úpravu je skutočnosť, že pracujúci starobný dôchodca </w:t>
      </w:r>
      <w:r w:rsidRPr="00057923">
        <w:rPr>
          <w:rFonts w:ascii="Book Antiqua" w:eastAsia="Times New Roman" w:hAnsi="Book Antiqua" w:cs="Times New Roman"/>
          <w:b/>
        </w:rPr>
        <w:t xml:space="preserve">sa nachádza v strednej pozícii </w:t>
      </w:r>
      <w:r w:rsidRPr="00057923">
        <w:rPr>
          <w:rFonts w:ascii="Book Antiqua" w:eastAsia="Times New Roman" w:hAnsi="Book Antiqua" w:cs="Times New Roman"/>
        </w:rPr>
        <w:t xml:space="preserve">medzi starobným dôchodcom, ktorý poberá starobný dôchodok odo dňa vzniku nároku a nepracuje, a poistencom, ktorý už získal nárok na starobný dôchodok, ale nepoberá ho a naďalej vykonáva zárobkovú činnosť. </w:t>
      </w:r>
      <w:r w:rsidRPr="00057923">
        <w:rPr>
          <w:rFonts w:ascii="Book Antiqua" w:eastAsia="Times New Roman" w:hAnsi="Book Antiqua" w:cs="Times New Roman"/>
          <w:b/>
          <w:i/>
        </w:rPr>
        <w:t>Prvý z nich si už ďalšie dôchodkové nároky nezvyšuje (nedostáva už žiadne ďalšie osobné mzdové body), druhý z nich si však v zhode s poistnou matematikou dôchodkové nároky zvyšuje o plný počet „nad nárok“ získaných osobných mzdových bodov a pri skončení výkonu zárobkovej činnosti dostáva navyše bonifikáciu podľa počtu ukončených mesiacov práce „nad nárok“.</w:t>
      </w:r>
      <w:r w:rsidRPr="00057923">
        <w:rPr>
          <w:rFonts w:ascii="Book Antiqua" w:eastAsia="Times New Roman" w:hAnsi="Book Antiqua" w:cs="Times New Roman"/>
          <w:b/>
        </w:rPr>
        <w:t xml:space="preserve"> </w:t>
      </w:r>
      <w:r w:rsidRPr="00057923">
        <w:rPr>
          <w:rFonts w:ascii="Book Antiqua" w:eastAsia="Times New Roman" w:hAnsi="Book Antiqua" w:cs="Times New Roman"/>
        </w:rPr>
        <w:t xml:space="preserve">Hodnotenie výkonu zárobkovej činnosti pracujúceho dôchodcu jednou polovicou navyše získaných osobných mzdových bodov vychádza nielen z vyššie uvedenej strednej pozície pracujúceho starobného dôchodcu, ale aj z možností, ktoré poskytuje Dohovor MOP 102 </w:t>
      </w:r>
      <w:r w:rsidRPr="00057923">
        <w:rPr>
          <w:rFonts w:ascii="Book Antiqua" w:eastAsia="Times New Roman" w:hAnsi="Book Antiqua" w:cs="Times New Roman"/>
          <w:b/>
          <w:i/>
        </w:rPr>
        <w:t xml:space="preserve">pri limitovaní starobného dôchodku pracujúceho dôchodcu. Tento Dohovor dovoľuje krátiť starobný dôchodok o jednu tretinu, takže v porovnaní s týmto krátením sa spôsob ďalšieho výpočtu starobného dôchodku pracujúceho dôchodcu javí ako príliš benevolentný. </w:t>
      </w:r>
      <w:r w:rsidRPr="00057923">
        <w:rPr>
          <w:rFonts w:ascii="Book Antiqua" w:eastAsia="Times New Roman" w:hAnsi="Book Antiqua" w:cs="Times New Roman"/>
        </w:rPr>
        <w:t>Je nevyhnutné si tiež uvedomiť, že k nerovnakému zaobchádzaniu v porovnaní s poistencom, ktorý získal nárok na starobný dôchodok, ale nepoberá ho a naďalej vykonáva zárobkovú činnosť, nedochádza, pretože tieto dva prípady nie sú porovnateľné (prvý dôchodok poberá, druhý nie).</w:t>
      </w:r>
      <w:r w:rsidRPr="00057923">
        <w:rPr>
          <w:rFonts w:ascii="Book Antiqua" w:eastAsia="Times New Roman" w:hAnsi="Book Antiqua" w:cs="Times New Roman"/>
          <w:i/>
        </w:rPr>
        <w:t xml:space="preserve"> </w:t>
      </w:r>
      <w:r w:rsidRPr="00057923">
        <w:rPr>
          <w:rFonts w:ascii="Book Antiqua" w:eastAsia="Times New Roman" w:hAnsi="Book Antiqua" w:cs="Times New Roman"/>
        </w:rPr>
        <w:t>Taktiež pripomíname, že účelom dávok sociálneho poistenia je nahradenie straty zárobku pri vzniku vymedzenej sociálnej udalosti v tomto prípade staroby.</w:t>
      </w:r>
    </w:p>
    <w:p w:rsidR="00057923" w:rsidRPr="00057923" w:rsidRDefault="00057923" w:rsidP="00057923">
      <w:pPr>
        <w:spacing w:after="0" w:line="276" w:lineRule="auto"/>
        <w:jc w:val="both"/>
        <w:rPr>
          <w:rFonts w:ascii="Book Antiqua" w:eastAsia="Times New Roman" w:hAnsi="Book Antiqua" w:cs="Times New Roman"/>
          <w:i/>
        </w:rPr>
      </w:pP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Jednou z metód na základe poistno-matematického prístupu ako sa môžeme pozrieť na túto problematiku je návratnosť dôchodkových nárokov v podobe jednej polovice osobných mzdových bodov v porovnaní s odvedenou sumou poistného na starobné poistenie - ktorá je viac ako 34 rokov. To znamená, že ak osoba pracuje celý rok popri poberaní starobného dôchodku za mesačný príjem 366,3 eura v hrubom, odvedie ročne do Sociálnej poisťovne na starobné poistenie a do rezervného fondu solidarity cca 1 000 eur (vo výpočte bola zohľadnená sadzba na starobné poistenie 18 % a rezervný fond solidarity vo výške 4,75 % - spolu 22,75 %). Po prepočítaní bude tejto osobe zvýšený dôchodok o 2,4 eura mesačne, čo </w:t>
      </w:r>
      <w:r w:rsidRPr="00057923">
        <w:rPr>
          <w:rFonts w:ascii="Book Antiqua" w:eastAsia="Times New Roman" w:hAnsi="Book Antiqua" w:cs="Times New Roman"/>
        </w:rPr>
        <w:lastRenderedPageBreak/>
        <w:t>znamená, že návratnosť odvedených príspevkov bude viac ako 34 rokov resp. 26,7 roka po zohľadnení valorizácie na úrovni 2 % počas celého obdobia. Na druhej strane, ak by sme  striktne dodržiavali zásadu, že starobný dôchodok má nahrádzať príjem pri vzniku sociálnej udalosti – staroby a aj s prihliadnutím na medzinárodný dohovor MOP, by sme krátili sumu starobného dôchodku o jednu tretinu, znížili by sa príjmy pracujúceho dôchodcu, ktorý poberá dôchodok vo výške 480 eur (priemerná suma dôchodku pracujúcich starobných dôchodcov v roku 2016) ročne o </w:t>
      </w:r>
      <w:r w:rsidRPr="00057923">
        <w:rPr>
          <w:rFonts w:ascii="Book Antiqua" w:eastAsia="Times New Roman" w:hAnsi="Book Antiqua" w:cs="Times New Roman"/>
          <w:b/>
        </w:rPr>
        <w:t>4 032 eur</w:t>
      </w:r>
      <w:r w:rsidRPr="00057923">
        <w:rPr>
          <w:rFonts w:ascii="Book Antiqua" w:eastAsia="Times New Roman" w:hAnsi="Book Antiqua" w:cs="Times New Roman"/>
        </w:rPr>
        <w:t xml:space="preserve">. </w:t>
      </w:r>
    </w:p>
    <w:p w:rsidR="00057923" w:rsidRPr="00057923" w:rsidRDefault="00057923" w:rsidP="00057923">
      <w:pPr>
        <w:spacing w:after="0" w:line="276" w:lineRule="auto"/>
        <w:ind w:firstLine="708"/>
        <w:jc w:val="both"/>
        <w:rPr>
          <w:rFonts w:ascii="Book Antiqua" w:eastAsia="Times New Roman" w:hAnsi="Book Antiqua" w:cs="Times New Roman"/>
        </w:rPr>
      </w:pP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Ak by sme porovnali výhodnosť možnosti poberania starobného dôchodku v kombinácii so zárobkovou činnosťou v porovnaní s výkonom zárobkovej činnosti bez poberania dôchodku počas jedného, dvoch resp. troch rokov po vzniku nároku na starobný dôchodok zistíme, že v prípade ak sa priemerný poistenec</w:t>
      </w:r>
      <w:r w:rsidRPr="00057923">
        <w:rPr>
          <w:rFonts w:ascii="Book Antiqua" w:eastAsia="Times New Roman" w:hAnsi="Book Antiqua" w:cs="Times New Roman"/>
          <w:vertAlign w:val="superscript"/>
        </w:rPr>
        <w:footnoteReference w:id="12"/>
      </w:r>
      <w:r w:rsidRPr="00057923">
        <w:rPr>
          <w:rFonts w:ascii="Book Antiqua" w:eastAsia="Times New Roman" w:hAnsi="Book Antiqua" w:cs="Times New Roman"/>
        </w:rPr>
        <w:t xml:space="preserve"> dožije viac ako 10 rokov po vzniku nároku na starobný dôchodok je pre neho výhodnejšie pracovať bez poberania starobného dôchodku. Naopak ak sa priemerný poistenec dožije po vzniku nároku menej ako 10 rokov je pre neho výhodnejšie kombinovať zárobok s poberaním dôchodku.</w:t>
      </w:r>
    </w:p>
    <w:p w:rsidR="00057923" w:rsidRPr="00057923" w:rsidRDefault="00057923" w:rsidP="00057923">
      <w:pPr>
        <w:spacing w:after="0" w:line="276" w:lineRule="auto"/>
        <w:ind w:firstLine="708"/>
        <w:jc w:val="both"/>
        <w:rPr>
          <w:rFonts w:ascii="Book Antiqua" w:eastAsia="Times New Roman" w:hAnsi="Book Antiqua" w:cs="Times New Roman"/>
        </w:rPr>
      </w:pP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Je potrebné si tiež uvedomiť, že zvýšenie zhodnocovania prepočtu starobného dôchodku z jednej polovice osobného mzdového bodu na celý osobný mzdový bod zakladá negatívny finančný vplyv na rozpočet verejnej správy. Zhodnocovanie dôchodkových nárokov celým osobným mzdovým bodom by predstavovalo zvýšené výdavky na rozpočet verejnej správy v roku 2018 o cca 6,7 mil. eur. Rovnako je dôležité upozorniť, že tieto výdavky by sa v čase kumulovali  a napríklad v roku 2021 by predstavovali už sumu 28,5 mil. eur (bez doplatkov z minulosti). </w:t>
      </w: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b/>
        </w:rPr>
        <w:t>Tabuľka 13:</w:t>
      </w:r>
      <w:r w:rsidRPr="00057923">
        <w:rPr>
          <w:rFonts w:ascii="Book Antiqua" w:eastAsia="Times New Roman" w:hAnsi="Book Antiqua" w:cs="Times New Roman"/>
        </w:rPr>
        <w:t xml:space="preserve"> Zmena zhodnocovania dôchodkových nárokov z jednej polovice na celý osobný mzdový bod</w:t>
      </w:r>
    </w:p>
    <w:tbl>
      <w:tblPr>
        <w:tblW w:w="8923" w:type="dxa"/>
        <w:tblInd w:w="55" w:type="dxa"/>
        <w:tblCellMar>
          <w:left w:w="70" w:type="dxa"/>
          <w:right w:w="70" w:type="dxa"/>
        </w:tblCellMar>
        <w:tblLook w:val="04A0" w:firstRow="1" w:lastRow="0" w:firstColumn="1" w:lastColumn="0" w:noHBand="0" w:noVBand="1"/>
      </w:tblPr>
      <w:tblGrid>
        <w:gridCol w:w="3843"/>
        <w:gridCol w:w="1240"/>
        <w:gridCol w:w="1240"/>
        <w:gridCol w:w="1240"/>
        <w:gridCol w:w="1360"/>
      </w:tblGrid>
      <w:tr w:rsidR="00057923" w:rsidRPr="00057923" w:rsidTr="00A62543">
        <w:trPr>
          <w:trHeight w:val="255"/>
        </w:trPr>
        <w:tc>
          <w:tcPr>
            <w:tcW w:w="3843" w:type="dxa"/>
            <w:tcBorders>
              <w:top w:val="single" w:sz="8" w:space="0" w:color="auto"/>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 </w:t>
            </w:r>
          </w:p>
        </w:tc>
        <w:tc>
          <w:tcPr>
            <w:tcW w:w="1240" w:type="dxa"/>
            <w:tcBorders>
              <w:top w:val="single" w:sz="8"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2018</w:t>
            </w:r>
          </w:p>
        </w:tc>
        <w:tc>
          <w:tcPr>
            <w:tcW w:w="1240" w:type="dxa"/>
            <w:tcBorders>
              <w:top w:val="single" w:sz="8"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2019</w:t>
            </w:r>
          </w:p>
        </w:tc>
        <w:tc>
          <w:tcPr>
            <w:tcW w:w="1240" w:type="dxa"/>
            <w:tcBorders>
              <w:top w:val="single" w:sz="8" w:space="0" w:color="auto"/>
              <w:left w:val="nil"/>
              <w:bottom w:val="single" w:sz="4" w:space="0" w:color="auto"/>
              <w:right w:val="single" w:sz="4" w:space="0" w:color="auto"/>
            </w:tcBorders>
            <w:noWrap/>
            <w:vAlign w:val="bottom"/>
            <w:hideMark/>
          </w:tcPr>
          <w:p w:rsidR="00057923" w:rsidRPr="00057923" w:rsidRDefault="00057923" w:rsidP="00057923">
            <w:pPr>
              <w:spacing w:after="0" w:line="240"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2020</w:t>
            </w:r>
          </w:p>
        </w:tc>
        <w:tc>
          <w:tcPr>
            <w:tcW w:w="1360" w:type="dxa"/>
            <w:tcBorders>
              <w:top w:val="single" w:sz="8" w:space="0" w:color="auto"/>
              <w:left w:val="nil"/>
              <w:bottom w:val="single" w:sz="4" w:space="0" w:color="auto"/>
              <w:right w:val="single" w:sz="8" w:space="0" w:color="auto"/>
            </w:tcBorders>
            <w:noWrap/>
            <w:vAlign w:val="bottom"/>
            <w:hideMark/>
          </w:tcPr>
          <w:p w:rsidR="00057923" w:rsidRPr="00057923" w:rsidRDefault="00057923" w:rsidP="00057923">
            <w:pPr>
              <w:spacing w:after="0" w:line="240"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2021</w:t>
            </w:r>
          </w:p>
        </w:tc>
      </w:tr>
      <w:tr w:rsidR="00057923" w:rsidRPr="00057923" w:rsidTr="00A62543">
        <w:trPr>
          <w:trHeight w:val="270"/>
        </w:trPr>
        <w:tc>
          <w:tcPr>
            <w:tcW w:w="3843" w:type="dxa"/>
            <w:tcBorders>
              <w:top w:val="nil"/>
              <w:left w:val="single" w:sz="8" w:space="0" w:color="auto"/>
              <w:bottom w:val="single" w:sz="8" w:space="0" w:color="auto"/>
              <w:right w:val="single" w:sz="4" w:space="0" w:color="auto"/>
            </w:tcBorders>
            <w:noWrap/>
            <w:vAlign w:val="bottom"/>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Zvýšené výdavky zmena z 1/2 OMB na celý OMB  (v mil. eur)</w:t>
            </w:r>
          </w:p>
        </w:tc>
        <w:tc>
          <w:tcPr>
            <w:tcW w:w="1240" w:type="dxa"/>
            <w:tcBorders>
              <w:top w:val="nil"/>
              <w:left w:val="nil"/>
              <w:bottom w:val="single" w:sz="8" w:space="0" w:color="auto"/>
              <w:right w:val="single" w:sz="4" w:space="0" w:color="auto"/>
            </w:tcBorders>
            <w:noWrap/>
            <w:vAlign w:val="bottom"/>
            <w:hideMark/>
          </w:tcPr>
          <w:p w:rsidR="00057923" w:rsidRPr="00057923" w:rsidRDefault="00057923" w:rsidP="00057923">
            <w:pPr>
              <w:spacing w:after="0" w:line="240"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6,7</w:t>
            </w:r>
          </w:p>
        </w:tc>
        <w:tc>
          <w:tcPr>
            <w:tcW w:w="1240" w:type="dxa"/>
            <w:tcBorders>
              <w:top w:val="nil"/>
              <w:left w:val="nil"/>
              <w:bottom w:val="single" w:sz="8" w:space="0" w:color="auto"/>
              <w:right w:val="single" w:sz="4" w:space="0" w:color="auto"/>
            </w:tcBorders>
            <w:noWrap/>
            <w:vAlign w:val="bottom"/>
            <w:hideMark/>
          </w:tcPr>
          <w:p w:rsidR="00057923" w:rsidRPr="00057923" w:rsidRDefault="00057923" w:rsidP="00057923">
            <w:pPr>
              <w:spacing w:after="0" w:line="240"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13,7</w:t>
            </w:r>
          </w:p>
        </w:tc>
        <w:tc>
          <w:tcPr>
            <w:tcW w:w="1240" w:type="dxa"/>
            <w:tcBorders>
              <w:top w:val="nil"/>
              <w:left w:val="nil"/>
              <w:bottom w:val="single" w:sz="8" w:space="0" w:color="auto"/>
              <w:right w:val="single" w:sz="4" w:space="0" w:color="auto"/>
            </w:tcBorders>
            <w:noWrap/>
            <w:vAlign w:val="bottom"/>
            <w:hideMark/>
          </w:tcPr>
          <w:p w:rsidR="00057923" w:rsidRPr="00057923" w:rsidRDefault="00057923" w:rsidP="00057923">
            <w:pPr>
              <w:spacing w:after="0" w:line="240"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20,9</w:t>
            </w:r>
          </w:p>
        </w:tc>
        <w:tc>
          <w:tcPr>
            <w:tcW w:w="1360" w:type="dxa"/>
            <w:tcBorders>
              <w:top w:val="nil"/>
              <w:left w:val="nil"/>
              <w:bottom w:val="single" w:sz="8" w:space="0" w:color="auto"/>
              <w:right w:val="single" w:sz="8" w:space="0" w:color="auto"/>
            </w:tcBorders>
            <w:noWrap/>
            <w:vAlign w:val="bottom"/>
            <w:hideMark/>
          </w:tcPr>
          <w:p w:rsidR="00057923" w:rsidRPr="00057923" w:rsidRDefault="00057923" w:rsidP="00057923">
            <w:pPr>
              <w:spacing w:after="0" w:line="240"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28,5</w:t>
            </w:r>
          </w:p>
        </w:tc>
      </w:tr>
    </w:tbl>
    <w:p w:rsidR="00057923" w:rsidRPr="00057923" w:rsidRDefault="00057923" w:rsidP="00057923">
      <w:pPr>
        <w:spacing w:after="0" w:line="276" w:lineRule="auto"/>
        <w:jc w:val="both"/>
        <w:rPr>
          <w:rFonts w:ascii="Book Antiqua" w:eastAsia="Times New Roman" w:hAnsi="Book Antiqua" w:cs="Times New Roman"/>
          <w:i/>
          <w:sz w:val="20"/>
        </w:rPr>
      </w:pPr>
      <w:r w:rsidRPr="00057923">
        <w:rPr>
          <w:rFonts w:ascii="Book Antiqua" w:eastAsia="Times New Roman" w:hAnsi="Book Antiqua" w:cs="Times New Roman"/>
          <w:i/>
          <w:sz w:val="20"/>
        </w:rPr>
        <w:t>Zdroj: MPSVR SR</w:t>
      </w:r>
    </w:p>
    <w:p w:rsidR="00057923" w:rsidRPr="00057923" w:rsidRDefault="00057923" w:rsidP="00057923">
      <w:pPr>
        <w:spacing w:after="0" w:line="276" w:lineRule="auto"/>
        <w:ind w:firstLine="708"/>
        <w:jc w:val="both"/>
        <w:rPr>
          <w:rFonts w:ascii="Book Antiqua" w:eastAsia="Times New Roman" w:hAnsi="Book Antiqua" w:cs="Times New Roman"/>
        </w:rPr>
      </w:pPr>
    </w:p>
    <w:p w:rsidR="00057923" w:rsidRPr="00057923" w:rsidRDefault="00057923" w:rsidP="00057923">
      <w:pPr>
        <w:spacing w:after="0" w:line="276" w:lineRule="auto"/>
        <w:ind w:firstLine="708"/>
        <w:jc w:val="both"/>
        <w:rPr>
          <w:rFonts w:ascii="Book Antiqua" w:eastAsia="Times New Roman" w:hAnsi="Book Antiqua" w:cs="Times New Roman"/>
        </w:rPr>
      </w:pP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b/>
        </w:rPr>
        <w:t>Súčasný systém  možnosti výkonu zárobkovej činnosti pre starobných dôchodcov bez uplatňovania akýchkoľvek limitov na výšku zárobku a krátenia dôchodku vrátane polovičného zhodnotenia dosiahnutých OMB môžeme považovať za až príliš benevolentný a zhodnocovanie v tomto kontexte za dostačujúce</w:t>
      </w:r>
      <w:r w:rsidRPr="00057923">
        <w:rPr>
          <w:rFonts w:ascii="Book Antiqua" w:eastAsia="Times New Roman" w:hAnsi="Book Antiqua" w:cs="Times New Roman"/>
        </w:rPr>
        <w:t>.</w:t>
      </w:r>
      <w:r w:rsidRPr="00057923" w:rsidDel="007316A8">
        <w:rPr>
          <w:rFonts w:ascii="Book Antiqua" w:eastAsia="Times New Roman" w:hAnsi="Book Antiqua" w:cs="Times New Roman"/>
        </w:rPr>
        <w:t xml:space="preserve"> </w:t>
      </w:r>
      <w:r w:rsidRPr="00057923">
        <w:rPr>
          <w:rFonts w:ascii="Book Antiqua" w:eastAsia="Times New Roman" w:hAnsi="Book Antiqua" w:cs="Times New Roman"/>
        </w:rPr>
        <w:t>Do budúcna tak ostáva len otázka motivačného faktora, t. j. či by zvyšovanie dôchodkových nárokov o celý osobný mzdový bod dokázalo zvýšiť motiváciu osôb pracovať popri poberaní dôchodku.</w:t>
      </w:r>
    </w:p>
    <w:p w:rsidR="00057923" w:rsidRPr="00057923" w:rsidRDefault="00057923" w:rsidP="00057923">
      <w:pPr>
        <w:spacing w:after="0" w:line="276" w:lineRule="auto"/>
        <w:ind w:firstLine="708"/>
        <w:jc w:val="both"/>
        <w:rPr>
          <w:rFonts w:ascii="Book Antiqua" w:eastAsia="Times New Roman" w:hAnsi="Book Antiqua" w:cs="Times New Roman"/>
        </w:rPr>
      </w:pPr>
    </w:p>
    <w:p w:rsidR="00057923" w:rsidRPr="00057923" w:rsidRDefault="00057923" w:rsidP="00057923">
      <w:pPr>
        <w:spacing w:after="0" w:line="276" w:lineRule="auto"/>
        <w:ind w:firstLine="708"/>
        <w:jc w:val="both"/>
        <w:rPr>
          <w:rFonts w:ascii="Book Antiqua" w:eastAsia="Times New Roman" w:hAnsi="Book Antiqua" w:cs="Times New Roman"/>
        </w:rPr>
      </w:pPr>
    </w:p>
    <w:p w:rsidR="00057923" w:rsidRPr="00057923" w:rsidRDefault="00057923" w:rsidP="00057923">
      <w:pPr>
        <w:spacing w:after="0" w:line="276" w:lineRule="auto"/>
        <w:ind w:firstLine="708"/>
        <w:jc w:val="both"/>
        <w:rPr>
          <w:rFonts w:ascii="Book Antiqua" w:eastAsia="Times New Roman" w:hAnsi="Book Antiqua" w:cs="Times New Roman"/>
        </w:rPr>
      </w:pPr>
    </w:p>
    <w:p w:rsidR="00057923" w:rsidRPr="00057923" w:rsidRDefault="00057923" w:rsidP="00057923">
      <w:pPr>
        <w:spacing w:after="0" w:line="276" w:lineRule="auto"/>
        <w:rPr>
          <w:rFonts w:ascii="Book Antiqua" w:eastAsia="Times New Roman" w:hAnsi="Book Antiqua" w:cs="Times New Roman"/>
          <w:b/>
          <w:sz w:val="20"/>
          <w:szCs w:val="20"/>
          <w:u w:val="single"/>
        </w:rPr>
      </w:pPr>
      <w:r w:rsidRPr="00057923">
        <w:rPr>
          <w:rFonts w:eastAsia="Times New Roman" w:cs="Times New Roman"/>
          <w:noProof/>
        </w:rPr>
        <w:lastRenderedPageBreak/>
        <mc:AlternateContent>
          <mc:Choice Requires="wps">
            <w:drawing>
              <wp:anchor distT="0" distB="0" distL="114300" distR="114300" simplePos="0" relativeHeight="251658240" behindDoc="0" locked="0" layoutInCell="1" allowOverlap="1">
                <wp:simplePos x="0" y="0"/>
                <wp:positionH relativeFrom="column">
                  <wp:posOffset>118745</wp:posOffset>
                </wp:positionH>
                <wp:positionV relativeFrom="paragraph">
                  <wp:posOffset>-490855</wp:posOffset>
                </wp:positionV>
                <wp:extent cx="5600700" cy="10058400"/>
                <wp:effectExtent l="0" t="0" r="19050" b="19050"/>
                <wp:wrapTopAndBottom/>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058400"/>
                        </a:xfrm>
                        <a:prstGeom prst="rect">
                          <a:avLst/>
                        </a:prstGeom>
                        <a:solidFill>
                          <a:sysClr val="window" lastClr="FFFFFF">
                            <a:lumMod val="75000"/>
                          </a:sysClr>
                        </a:solidFill>
                        <a:ln w="25400" cap="flat" cmpd="sng" algn="ctr">
                          <a:solidFill>
                            <a:srgbClr val="F79646"/>
                          </a:solidFill>
                          <a:prstDash val="solid"/>
                          <a:headEnd/>
                          <a:tailEnd/>
                        </a:ln>
                        <a:effectLst/>
                      </wps:spPr>
                      <wps:txbx>
                        <w:txbxContent>
                          <w:p w:rsidR="00057923" w:rsidRPr="005142A6" w:rsidRDefault="00057923" w:rsidP="00057923">
                            <w:pPr>
                              <w:jc w:val="center"/>
                              <w:rPr>
                                <w:rFonts w:ascii="Book Antiqua" w:hAnsi="Book Antiqua"/>
                                <w:b/>
                                <w:sz w:val="20"/>
                                <w:szCs w:val="20"/>
                                <w:u w:val="single"/>
                              </w:rPr>
                            </w:pPr>
                            <w:r w:rsidRPr="005142A6">
                              <w:rPr>
                                <w:rFonts w:ascii="Book Antiqua" w:hAnsi="Book Antiqua"/>
                                <w:b/>
                                <w:sz w:val="20"/>
                                <w:szCs w:val="20"/>
                                <w:u w:val="single"/>
                              </w:rPr>
                              <w:t>BOX</w:t>
                            </w:r>
                            <w:r>
                              <w:rPr>
                                <w:rFonts w:ascii="Book Antiqua" w:hAnsi="Book Antiqua"/>
                                <w:b/>
                                <w:sz w:val="20"/>
                                <w:szCs w:val="20"/>
                                <w:u w:val="single"/>
                              </w:rPr>
                              <w:t xml:space="preserve"> 3</w:t>
                            </w:r>
                            <w:r w:rsidRPr="005142A6">
                              <w:rPr>
                                <w:rFonts w:ascii="Book Antiqua" w:hAnsi="Book Antiqua"/>
                                <w:b/>
                                <w:sz w:val="20"/>
                                <w:szCs w:val="20"/>
                                <w:u w:val="single"/>
                              </w:rPr>
                              <w:t>: Nedávne zmeny prijaté</w:t>
                            </w:r>
                            <w:r>
                              <w:rPr>
                                <w:rFonts w:ascii="Book Antiqua" w:hAnsi="Book Antiqua"/>
                                <w:b/>
                                <w:sz w:val="20"/>
                                <w:szCs w:val="20"/>
                                <w:u w:val="single"/>
                              </w:rPr>
                              <w:t>/navrhované</w:t>
                            </w:r>
                            <w:r w:rsidRPr="005142A6">
                              <w:rPr>
                                <w:rFonts w:ascii="Book Antiqua" w:hAnsi="Book Antiqua"/>
                                <w:b/>
                                <w:sz w:val="20"/>
                                <w:szCs w:val="20"/>
                                <w:u w:val="single"/>
                              </w:rPr>
                              <w:t xml:space="preserve"> v slovenskom </w:t>
                            </w:r>
                            <w:r>
                              <w:rPr>
                                <w:rFonts w:ascii="Book Antiqua" w:hAnsi="Book Antiqua"/>
                                <w:b/>
                                <w:sz w:val="20"/>
                                <w:szCs w:val="20"/>
                                <w:u w:val="single"/>
                              </w:rPr>
                              <w:t xml:space="preserve">                                                </w:t>
                            </w:r>
                            <w:r w:rsidRPr="005142A6">
                              <w:rPr>
                                <w:rFonts w:ascii="Book Antiqua" w:hAnsi="Book Antiqua"/>
                                <w:b/>
                                <w:sz w:val="20"/>
                                <w:szCs w:val="20"/>
                                <w:u w:val="single"/>
                              </w:rPr>
                              <w:t>odvodovo-dôchodkovom systéme</w:t>
                            </w:r>
                            <w:r>
                              <w:rPr>
                                <w:rFonts w:ascii="Book Antiqua" w:hAnsi="Book Antiqua"/>
                                <w:b/>
                                <w:sz w:val="20"/>
                                <w:szCs w:val="20"/>
                                <w:u w:val="single"/>
                              </w:rPr>
                              <w:t>.</w:t>
                            </w:r>
                          </w:p>
                          <w:p w:rsidR="00057923" w:rsidRPr="00D204F9" w:rsidRDefault="00057923" w:rsidP="00057923">
                            <w:pPr>
                              <w:spacing w:after="0"/>
                              <w:jc w:val="both"/>
                              <w:rPr>
                                <w:rFonts w:ascii="Book Antiqua" w:hAnsi="Book Antiqua"/>
                                <w:b/>
                                <w:i/>
                                <w:sz w:val="20"/>
                                <w:szCs w:val="20"/>
                              </w:rPr>
                            </w:pPr>
                            <w:r w:rsidRPr="00D204F9">
                              <w:rPr>
                                <w:rFonts w:ascii="Book Antiqua" w:hAnsi="Book Antiqua"/>
                                <w:sz w:val="20"/>
                                <w:szCs w:val="20"/>
                              </w:rPr>
                              <w:t xml:space="preserve">S účinnosťou </w:t>
                            </w:r>
                            <w:r w:rsidRPr="00D204F9">
                              <w:rPr>
                                <w:rFonts w:ascii="Book Antiqua" w:hAnsi="Book Antiqua"/>
                                <w:b/>
                                <w:i/>
                                <w:sz w:val="20"/>
                                <w:szCs w:val="20"/>
                              </w:rPr>
                              <w:t>od 1. júla 2018</w:t>
                            </w:r>
                            <w:r>
                              <w:rPr>
                                <w:rFonts w:ascii="Book Antiqua" w:hAnsi="Book Antiqua"/>
                                <w:sz w:val="20"/>
                                <w:szCs w:val="20"/>
                              </w:rPr>
                              <w:t xml:space="preserve"> je</w:t>
                            </w:r>
                            <w:r w:rsidRPr="00D204F9">
                              <w:rPr>
                                <w:rFonts w:ascii="Book Antiqua" w:hAnsi="Book Antiqua"/>
                                <w:sz w:val="20"/>
                                <w:szCs w:val="20"/>
                              </w:rPr>
                              <w:t xml:space="preserve"> umožnené poberateľom dôchodku, pracujúcim na základe dohôd o prácach vykonávaných mimo pracovného pomeru, využiť rovnakú výhodu, akú majú v súčasnosti žiaci stredných</w:t>
                            </w:r>
                            <w:r>
                              <w:rPr>
                                <w:rFonts w:ascii="Book Antiqua" w:hAnsi="Book Antiqua"/>
                                <w:sz w:val="20"/>
                                <w:szCs w:val="20"/>
                              </w:rPr>
                              <w:t xml:space="preserve"> škôl</w:t>
                            </w:r>
                            <w:r w:rsidRPr="00D204F9">
                              <w:rPr>
                                <w:rFonts w:ascii="Book Antiqua" w:hAnsi="Book Antiqua"/>
                                <w:sz w:val="20"/>
                                <w:szCs w:val="20"/>
                              </w:rPr>
                              <w:t xml:space="preserve"> a študenti vysokých škôl. Budú mať právo určiť si dohodu o prácach v</w:t>
                            </w:r>
                            <w:r w:rsidRPr="00810F3F">
                              <w:rPr>
                                <w:rFonts w:ascii="Book Antiqua" w:hAnsi="Book Antiqua"/>
                                <w:sz w:val="20"/>
                                <w:szCs w:val="20"/>
                              </w:rPr>
                              <w:t xml:space="preserve">ykonávaných mimo pracovného pomeru, na základe ktorej nebudú mať postavenie zamestnanca na účely dôchodkového poistenia. A tak oni a ich zamestnávatelia </w:t>
                            </w:r>
                            <w:r w:rsidRPr="00D204F9">
                              <w:rPr>
                                <w:rFonts w:ascii="Book Antiqua" w:hAnsi="Book Antiqua"/>
                                <w:b/>
                                <w:i/>
                                <w:sz w:val="20"/>
                                <w:szCs w:val="20"/>
                              </w:rPr>
                              <w:t xml:space="preserve">budú oslobodení od platenia odvodov na povinné dôchodkové poistenie a zamestnávatelia aj do rezervného fondu solidarity. </w:t>
                            </w:r>
                          </w:p>
                          <w:p w:rsidR="00057923" w:rsidRPr="00D204F9" w:rsidRDefault="00057923" w:rsidP="00057923">
                            <w:pPr>
                              <w:spacing w:after="0"/>
                              <w:jc w:val="both"/>
                              <w:rPr>
                                <w:rFonts w:ascii="Book Antiqua" w:hAnsi="Book Antiqua"/>
                                <w:sz w:val="20"/>
                                <w:szCs w:val="20"/>
                              </w:rPr>
                            </w:pPr>
                          </w:p>
                          <w:p w:rsidR="00057923" w:rsidRPr="00D204F9" w:rsidRDefault="00057923" w:rsidP="00057923">
                            <w:pPr>
                              <w:spacing w:after="0"/>
                              <w:jc w:val="both"/>
                              <w:rPr>
                                <w:rFonts w:ascii="Book Antiqua" w:hAnsi="Book Antiqua"/>
                                <w:b/>
                                <w:sz w:val="20"/>
                                <w:szCs w:val="20"/>
                              </w:rPr>
                            </w:pPr>
                            <w:r w:rsidRPr="00D204F9">
                              <w:rPr>
                                <w:rFonts w:ascii="Book Antiqua" w:hAnsi="Book Antiqua"/>
                                <w:b/>
                                <w:i/>
                                <w:sz w:val="20"/>
                                <w:szCs w:val="20"/>
                              </w:rPr>
                              <w:t>Oslobodenie bude v rovnakej výške</w:t>
                            </w:r>
                            <w:r w:rsidRPr="00D204F9">
                              <w:rPr>
                                <w:rFonts w:ascii="Book Antiqua" w:hAnsi="Book Antiqua"/>
                                <w:sz w:val="20"/>
                                <w:szCs w:val="20"/>
                              </w:rPr>
                              <w:t xml:space="preserve"> vymeriavacieho základu, ako je tomu už v súčasnosti u študentov - </w:t>
                            </w:r>
                            <w:r w:rsidRPr="00D204F9">
                              <w:rPr>
                                <w:rFonts w:ascii="Book Antiqua" w:hAnsi="Book Antiqua"/>
                                <w:b/>
                                <w:i/>
                                <w:sz w:val="20"/>
                                <w:szCs w:val="20"/>
                              </w:rPr>
                              <w:t>200 eur mesačne, čo predstavuje 2 400 eur ročne</w:t>
                            </w:r>
                            <w:r w:rsidRPr="00D204F9">
                              <w:rPr>
                                <w:rFonts w:ascii="Book Antiqua" w:hAnsi="Book Antiqua"/>
                                <w:i/>
                                <w:sz w:val="20"/>
                                <w:szCs w:val="20"/>
                              </w:rPr>
                              <w:t>.</w:t>
                            </w:r>
                            <w:r w:rsidRPr="00D204F9">
                              <w:rPr>
                                <w:rFonts w:ascii="Book Antiqua" w:hAnsi="Book Antiqua"/>
                                <w:sz w:val="20"/>
                                <w:szCs w:val="20"/>
                              </w:rPr>
                              <w:t xml:space="preserve"> Predmetné opatrenie sa týka poberateľov starobného dôchodku, invalidného dôchodku </w:t>
                            </w:r>
                            <w:r w:rsidRPr="00D204F9">
                              <w:rPr>
                                <w:rFonts w:ascii="Book Antiqua" w:hAnsi="Book Antiqua"/>
                                <w:b/>
                                <w:sz w:val="20"/>
                                <w:szCs w:val="20"/>
                              </w:rPr>
                              <w:t xml:space="preserve">a predčasného starobného dôchodku. To znamená, že zásada predčasný starobný dôchodok alebo zárobok platí v ešte benevolentenejšom režime </w:t>
                            </w:r>
                            <w:r w:rsidRPr="00D204F9">
                              <w:rPr>
                                <w:rFonts w:ascii="Book Antiqua" w:hAnsi="Book Antiqua"/>
                                <w:sz w:val="20"/>
                                <w:szCs w:val="20"/>
                              </w:rPr>
                              <w:t>(možnosť obchádzania exist</w:t>
                            </w:r>
                            <w:r>
                              <w:rPr>
                                <w:rFonts w:ascii="Book Antiqua" w:hAnsi="Book Antiqua"/>
                                <w:sz w:val="20"/>
                                <w:szCs w:val="20"/>
                              </w:rPr>
                              <w:t xml:space="preserve">ovala aj pred touto zmenou </w:t>
                            </w:r>
                            <w:r w:rsidRPr="00D204F9">
                              <w:rPr>
                                <w:rFonts w:ascii="Book Antiqua" w:hAnsi="Book Antiqua"/>
                                <w:sz w:val="20"/>
                                <w:szCs w:val="20"/>
                              </w:rPr>
                              <w:t xml:space="preserve"> prostredníctvom výkonu samostatnej zárobkovej činnosti pri nevzniknutí povinného dôchodkového poistenia resp.</w:t>
                            </w:r>
                            <w:r>
                              <w:rPr>
                                <w:rFonts w:ascii="Book Antiqua" w:hAnsi="Book Antiqua"/>
                                <w:sz w:val="20"/>
                                <w:szCs w:val="20"/>
                              </w:rPr>
                              <w:t xml:space="preserve"> uzatváraním určitých neštandardných kontraktov</w:t>
                            </w:r>
                            <w:r w:rsidRPr="00D204F9">
                              <w:rPr>
                                <w:rFonts w:ascii="Book Antiqua" w:hAnsi="Book Antiqua"/>
                                <w:sz w:val="20"/>
                                <w:szCs w:val="20"/>
                              </w:rPr>
                              <w:t xml:space="preserve"> /napr. príkazné zmluvy/).</w:t>
                            </w:r>
                            <w:r w:rsidRPr="00D204F9">
                              <w:rPr>
                                <w:rFonts w:ascii="Book Antiqua" w:hAnsi="Book Antiqua"/>
                                <w:b/>
                                <w:sz w:val="20"/>
                                <w:szCs w:val="20"/>
                              </w:rPr>
                              <w:t xml:space="preserve"> </w:t>
                            </w:r>
                          </w:p>
                          <w:p w:rsidR="00057923" w:rsidRPr="00D204F9" w:rsidRDefault="00057923" w:rsidP="00057923">
                            <w:pPr>
                              <w:spacing w:after="0"/>
                              <w:jc w:val="both"/>
                              <w:rPr>
                                <w:rFonts w:ascii="Book Antiqua" w:hAnsi="Book Antiqua"/>
                                <w:b/>
                                <w:sz w:val="20"/>
                                <w:szCs w:val="20"/>
                              </w:rPr>
                            </w:pPr>
                          </w:p>
                          <w:p w:rsidR="00057923" w:rsidRDefault="00057923" w:rsidP="00057923">
                            <w:pPr>
                              <w:spacing w:after="0"/>
                              <w:jc w:val="both"/>
                              <w:rPr>
                                <w:rFonts w:ascii="Book Antiqua" w:hAnsi="Book Antiqua"/>
                                <w:sz w:val="20"/>
                                <w:szCs w:val="20"/>
                              </w:rPr>
                            </w:pPr>
                            <w:r w:rsidRPr="00CE68AF">
                              <w:rPr>
                                <w:rFonts w:ascii="Book Antiqua" w:hAnsi="Book Antiqua"/>
                                <w:sz w:val="20"/>
                                <w:szCs w:val="20"/>
                              </w:rPr>
                              <w:t xml:space="preserve">Koncom roka 2017 sa v legislatívnom procese nachádzalo </w:t>
                            </w:r>
                            <w:r w:rsidRPr="004B190F">
                              <w:rPr>
                                <w:rFonts w:ascii="Book Antiqua" w:hAnsi="Book Antiqua"/>
                                <w:sz w:val="20"/>
                                <w:szCs w:val="20"/>
                              </w:rPr>
                              <w:t xml:space="preserve">aj </w:t>
                            </w:r>
                            <w:r w:rsidRPr="00903306">
                              <w:rPr>
                                <w:rFonts w:ascii="Book Antiqua" w:hAnsi="Book Antiqua"/>
                                <w:b/>
                                <w:sz w:val="20"/>
                                <w:szCs w:val="20"/>
                              </w:rPr>
                              <w:t xml:space="preserve">zavedenie </w:t>
                            </w:r>
                            <w:r w:rsidRPr="00CE68AF">
                              <w:rPr>
                                <w:rFonts w:ascii="Book Antiqua" w:hAnsi="Book Antiqua"/>
                                <w:b/>
                                <w:sz w:val="20"/>
                                <w:szCs w:val="20"/>
                              </w:rPr>
                              <w:t xml:space="preserve">preddôchodku s navrhovanou účinnosťou od 1. januára 2019. </w:t>
                            </w:r>
                            <w:r w:rsidRPr="00CE68AF">
                              <w:rPr>
                                <w:rFonts w:ascii="Book Antiqua" w:hAnsi="Book Antiqua"/>
                                <w:sz w:val="20"/>
                                <w:szCs w:val="20"/>
                              </w:rPr>
                              <w:t>Zavedenie</w:t>
                            </w:r>
                            <w:r w:rsidRPr="00203524">
                              <w:rPr>
                                <w:rFonts w:ascii="Book Antiqua" w:hAnsi="Book Antiqua"/>
                                <w:sz w:val="20"/>
                                <w:szCs w:val="20"/>
                              </w:rPr>
                              <w:t xml:space="preserve"> novej dávky z doplnkov</w:t>
                            </w:r>
                            <w:r>
                              <w:rPr>
                                <w:rFonts w:ascii="Book Antiqua" w:hAnsi="Book Antiqua"/>
                                <w:sz w:val="20"/>
                                <w:szCs w:val="20"/>
                              </w:rPr>
                              <w:t>ého dôchodkového sporenia</w:t>
                            </w:r>
                            <w:r w:rsidRPr="00203524">
                              <w:rPr>
                                <w:rFonts w:ascii="Book Antiqua" w:hAnsi="Book Antiqua"/>
                                <w:sz w:val="20"/>
                                <w:szCs w:val="20"/>
                              </w:rPr>
                              <w:t xml:space="preserve"> </w:t>
                            </w:r>
                            <w:r>
                              <w:rPr>
                                <w:rFonts w:ascii="Book Antiqua" w:hAnsi="Book Antiqua"/>
                                <w:sz w:val="20"/>
                                <w:szCs w:val="20"/>
                              </w:rPr>
                              <w:t>by umožnilo</w:t>
                            </w:r>
                            <w:r w:rsidRPr="00203524">
                              <w:rPr>
                                <w:rFonts w:ascii="Book Antiqua" w:hAnsi="Book Antiqua"/>
                                <w:sz w:val="20"/>
                                <w:szCs w:val="20"/>
                              </w:rPr>
                              <w:t xml:space="preserve"> účastníkom </w:t>
                            </w:r>
                            <w:r>
                              <w:rPr>
                                <w:rFonts w:ascii="Book Antiqua" w:hAnsi="Book Antiqua"/>
                                <w:sz w:val="20"/>
                                <w:szCs w:val="20"/>
                              </w:rPr>
                              <w:t xml:space="preserve">v preddôchodkovom veku </w:t>
                            </w:r>
                            <w:r w:rsidRPr="00203524">
                              <w:rPr>
                                <w:rFonts w:ascii="Book Antiqua" w:hAnsi="Book Antiqua"/>
                                <w:sz w:val="20"/>
                                <w:szCs w:val="20"/>
                              </w:rPr>
                              <w:t xml:space="preserve">odísť </w:t>
                            </w:r>
                            <w:r>
                              <w:rPr>
                                <w:rFonts w:ascii="Book Antiqua" w:hAnsi="Book Antiqua"/>
                                <w:sz w:val="20"/>
                                <w:szCs w:val="20"/>
                              </w:rPr>
                              <w:t xml:space="preserve">maximálne o 5 rokov </w:t>
                            </w:r>
                            <w:r w:rsidRPr="00203524">
                              <w:rPr>
                                <w:rFonts w:ascii="Book Antiqua" w:hAnsi="Book Antiqua"/>
                                <w:sz w:val="20"/>
                                <w:szCs w:val="20"/>
                              </w:rPr>
                              <w:t xml:space="preserve">skôr z pracovného trhu a financovať svoje životné náklady súkromnými prostriedkami z osobného účtu. </w:t>
                            </w:r>
                            <w:r>
                              <w:rPr>
                                <w:rFonts w:ascii="Book Antiqua" w:hAnsi="Book Antiqua"/>
                                <w:sz w:val="20"/>
                                <w:szCs w:val="20"/>
                              </w:rPr>
                              <w:t xml:space="preserve">Na základe </w:t>
                            </w:r>
                            <w:r w:rsidRPr="007726E3">
                              <w:rPr>
                                <w:rFonts w:ascii="Book Antiqua" w:hAnsi="Book Antiqua"/>
                                <w:b/>
                                <w:i/>
                                <w:sz w:val="20"/>
                                <w:szCs w:val="20"/>
                              </w:rPr>
                              <w:t>zásadných pripomienok Ministerstva financií Slovenskej republiky (MF SR) bol návrh preddôchodku MPSVR SR stiahnutý.</w:t>
                            </w:r>
                            <w:r>
                              <w:rPr>
                                <w:rFonts w:ascii="Book Antiqua" w:hAnsi="Book Antiqua"/>
                                <w:sz w:val="20"/>
                                <w:szCs w:val="20"/>
                              </w:rPr>
                              <w:t xml:space="preserve"> Zo strany MF SR sa jednalo hlavne o sprísnenie podmienok nároku na preddôchodok tak, aby sa výrazne znížil okruh osôb, ktoré by mohli preddôchodok poberať a skrátilo sa taktiež obdobie, v ktorom by ho mohli poberať. Ako dôvod uviedli nasledovné argumenty: </w:t>
                            </w:r>
                          </w:p>
                          <w:p w:rsidR="00057923" w:rsidRPr="00A21DE1" w:rsidRDefault="00057923" w:rsidP="00057923">
                            <w:pPr>
                              <w:pStyle w:val="Odsekzoznamu"/>
                              <w:numPr>
                                <w:ilvl w:val="0"/>
                                <w:numId w:val="23"/>
                              </w:numPr>
                              <w:spacing w:after="0"/>
                              <w:jc w:val="both"/>
                            </w:pPr>
                            <w:r w:rsidRPr="00A21DE1">
                              <w:rPr>
                                <w:rFonts w:ascii="Book Antiqua" w:hAnsi="Book Antiqua"/>
                                <w:sz w:val="20"/>
                                <w:szCs w:val="20"/>
                              </w:rPr>
                              <w:t xml:space="preserve">Zavedenie preddôchodku v navrhovanej podobe vytvorí motiváciu na skorší odchod z trhu práce, </w:t>
                            </w:r>
                            <w:r w:rsidRPr="00EF58BB">
                              <w:rPr>
                                <w:rFonts w:ascii="Book Antiqua" w:hAnsi="Book Antiqua"/>
                                <w:b/>
                                <w:sz w:val="20"/>
                                <w:szCs w:val="20"/>
                              </w:rPr>
                              <w:t>čo následne spôsobí zníženie efektívneho dôchodkového veku</w:t>
                            </w:r>
                            <w:r>
                              <w:rPr>
                                <w:rFonts w:ascii="Book Antiqua" w:hAnsi="Book Antiqua"/>
                                <w:sz w:val="20"/>
                                <w:szCs w:val="20"/>
                              </w:rPr>
                              <w:t xml:space="preserve">, t.j. </w:t>
                            </w:r>
                            <w:r w:rsidRPr="00A21DE1">
                              <w:rPr>
                                <w:rFonts w:ascii="Book Antiqua" w:hAnsi="Book Antiqua"/>
                                <w:sz w:val="20"/>
                                <w:szCs w:val="20"/>
                              </w:rPr>
                              <w:t>menší počet pracujúcich a výpadok daňových príjmov a odvodových príjmov.</w:t>
                            </w:r>
                          </w:p>
                          <w:p w:rsidR="00057923" w:rsidRPr="00204F31" w:rsidRDefault="00057923" w:rsidP="00057923">
                            <w:pPr>
                              <w:pStyle w:val="Odsekzoznamu"/>
                              <w:numPr>
                                <w:ilvl w:val="0"/>
                                <w:numId w:val="23"/>
                              </w:numPr>
                              <w:spacing w:after="0"/>
                              <w:jc w:val="both"/>
                              <w:rPr>
                                <w:rFonts w:ascii="Book Antiqua" w:hAnsi="Book Antiqua"/>
                                <w:sz w:val="20"/>
                                <w:szCs w:val="20"/>
                              </w:rPr>
                            </w:pPr>
                            <w:r w:rsidRPr="00A21DE1">
                              <w:rPr>
                                <w:rFonts w:ascii="Book Antiqua" w:hAnsi="Book Antiqua"/>
                                <w:sz w:val="20"/>
                                <w:szCs w:val="20"/>
                              </w:rPr>
                              <w:t>Súčasný sociálny systém je dostatočne flexibilný v prípade straty schopnosti</w:t>
                            </w:r>
                            <w:r>
                              <w:rPr>
                                <w:rFonts w:ascii="Book Antiqua" w:hAnsi="Book Antiqua"/>
                                <w:sz w:val="20"/>
                                <w:szCs w:val="20"/>
                              </w:rPr>
                              <w:t>, resp. možnosti pracovať. Pod</w:t>
                            </w:r>
                            <w:r w:rsidRPr="00A21DE1">
                              <w:rPr>
                                <w:rFonts w:ascii="Book Antiqua" w:hAnsi="Book Antiqua"/>
                                <w:sz w:val="20"/>
                                <w:szCs w:val="20"/>
                              </w:rPr>
                              <w:t>systém</w:t>
                            </w:r>
                            <w:r>
                              <w:rPr>
                                <w:rFonts w:ascii="Book Antiqua" w:hAnsi="Book Antiqua"/>
                                <w:sz w:val="20"/>
                                <w:szCs w:val="20"/>
                              </w:rPr>
                              <w:t xml:space="preserve"> invalidného poistenia</w:t>
                            </w:r>
                            <w:r w:rsidRPr="00A21DE1">
                              <w:rPr>
                                <w:rFonts w:ascii="Book Antiqua" w:hAnsi="Book Antiqua"/>
                                <w:sz w:val="20"/>
                                <w:szCs w:val="20"/>
                              </w:rPr>
                              <w:t xml:space="preserve"> </w:t>
                            </w:r>
                            <w:r>
                              <w:rPr>
                                <w:rFonts w:ascii="Book Antiqua" w:hAnsi="Book Antiqua"/>
                                <w:sz w:val="20"/>
                                <w:szCs w:val="20"/>
                              </w:rPr>
                              <w:t xml:space="preserve">v súčasnosti </w:t>
                            </w:r>
                            <w:r w:rsidRPr="00A21DE1">
                              <w:rPr>
                                <w:rFonts w:ascii="Book Antiqua" w:hAnsi="Book Antiqua"/>
                                <w:sz w:val="20"/>
                                <w:szCs w:val="20"/>
                              </w:rPr>
                              <w:t xml:space="preserve">umožňuje opustiť trh práce, ak zdravotné dôvody spôsobujú stratu schopnosti pracovať. </w:t>
                            </w:r>
                            <w:r>
                              <w:rPr>
                                <w:rFonts w:ascii="Book Antiqua" w:hAnsi="Book Antiqua"/>
                                <w:sz w:val="20"/>
                                <w:szCs w:val="20"/>
                              </w:rPr>
                              <w:t>Taktiež ú</w:t>
                            </w:r>
                            <w:r w:rsidRPr="00A21DE1">
                              <w:rPr>
                                <w:rFonts w:ascii="Book Antiqua" w:hAnsi="Book Antiqua"/>
                                <w:sz w:val="20"/>
                                <w:szCs w:val="20"/>
                              </w:rPr>
                              <w:t>rady práce vytvárajú priestor pre opätovné zaradenie</w:t>
                            </w:r>
                            <w:r>
                              <w:rPr>
                                <w:rFonts w:ascii="Book Antiqua" w:hAnsi="Book Antiqua"/>
                                <w:sz w:val="20"/>
                                <w:szCs w:val="20"/>
                              </w:rPr>
                              <w:t xml:space="preserve"> nezamestnaných osôb</w:t>
                            </w:r>
                            <w:r w:rsidRPr="00A21DE1">
                              <w:rPr>
                                <w:rFonts w:ascii="Book Antiqua" w:hAnsi="Book Antiqua"/>
                                <w:sz w:val="20"/>
                                <w:szCs w:val="20"/>
                              </w:rPr>
                              <w:t xml:space="preserve"> na trh práce.</w:t>
                            </w:r>
                          </w:p>
                          <w:p w:rsidR="00057923" w:rsidRDefault="00057923" w:rsidP="00057923">
                            <w:pPr>
                              <w:pStyle w:val="Odsekzoznamu"/>
                              <w:numPr>
                                <w:ilvl w:val="0"/>
                                <w:numId w:val="23"/>
                              </w:numPr>
                              <w:spacing w:after="0"/>
                              <w:jc w:val="both"/>
                              <w:rPr>
                                <w:rFonts w:ascii="Book Antiqua" w:hAnsi="Book Antiqua"/>
                                <w:sz w:val="20"/>
                                <w:szCs w:val="20"/>
                              </w:rPr>
                            </w:pPr>
                            <w:r w:rsidRPr="00A21DE1">
                              <w:rPr>
                                <w:rFonts w:ascii="Book Antiqua" w:hAnsi="Book Antiqua"/>
                                <w:sz w:val="20"/>
                                <w:szCs w:val="20"/>
                              </w:rPr>
                              <w:t xml:space="preserve">Preddôchodok zníži reálne príjmy v starobe. </w:t>
                            </w:r>
                            <w:r w:rsidRPr="00A17410">
                              <w:rPr>
                                <w:rFonts w:ascii="Book Antiqua" w:hAnsi="Book Antiqua"/>
                                <w:sz w:val="20"/>
                                <w:szCs w:val="20"/>
                              </w:rPr>
                              <w:t xml:space="preserve"> </w:t>
                            </w:r>
                            <w:r>
                              <w:rPr>
                                <w:rFonts w:ascii="Book Antiqua" w:hAnsi="Book Antiqua"/>
                                <w:sz w:val="20"/>
                                <w:szCs w:val="20"/>
                              </w:rPr>
                              <w:t>Účastníci minú svoje úspory z III.</w:t>
                            </w:r>
                            <w:r w:rsidRPr="00A21DE1">
                              <w:rPr>
                                <w:rFonts w:ascii="Book Antiqua" w:hAnsi="Book Antiqua"/>
                                <w:sz w:val="20"/>
                                <w:szCs w:val="20"/>
                              </w:rPr>
                              <w:t xml:space="preserve"> piliera ešt</w:t>
                            </w:r>
                            <w:r>
                              <w:rPr>
                                <w:rFonts w:ascii="Book Antiqua" w:hAnsi="Book Antiqua"/>
                                <w:sz w:val="20"/>
                                <w:szCs w:val="20"/>
                              </w:rPr>
                              <w:t>e pred vekom odchodu do dôchodku.</w:t>
                            </w:r>
                          </w:p>
                          <w:p w:rsidR="00057923" w:rsidRDefault="00057923" w:rsidP="00057923">
                            <w:pPr>
                              <w:jc w:val="both"/>
                              <w:rPr>
                                <w:rFonts w:ascii="Book Antiqua" w:hAnsi="Book Antiqua"/>
                                <w:sz w:val="20"/>
                                <w:szCs w:val="20"/>
                              </w:rPr>
                            </w:pPr>
                            <w:r>
                              <w:rPr>
                                <w:rFonts w:ascii="Book Antiqua" w:hAnsi="Book Antiqua"/>
                                <w:sz w:val="20"/>
                                <w:szCs w:val="20"/>
                              </w:rPr>
                              <w:t>V súčasnosti</w:t>
                            </w:r>
                            <w:r w:rsidRPr="00A21DE1">
                              <w:rPr>
                                <w:rFonts w:ascii="Book Antiqua" w:hAnsi="Book Antiqua"/>
                                <w:sz w:val="20"/>
                                <w:szCs w:val="20"/>
                              </w:rPr>
                              <w:t xml:space="preserve"> </w:t>
                            </w:r>
                            <w:r>
                              <w:rPr>
                                <w:rFonts w:ascii="Book Antiqua" w:hAnsi="Book Antiqua"/>
                                <w:sz w:val="20"/>
                                <w:szCs w:val="20"/>
                              </w:rPr>
                              <w:t>prebiehajú rokovania o alternatívnych možnostiach zavedenia preddôchodku s MF SR ako aj s Konfederáciou odborových zväzov.</w:t>
                            </w:r>
                          </w:p>
                          <w:p w:rsidR="00057923" w:rsidRPr="007717BA" w:rsidRDefault="00057923" w:rsidP="00057923">
                            <w:pPr>
                              <w:jc w:val="both"/>
                              <w:rPr>
                                <w:rFonts w:ascii="Book Antiqua" w:hAnsi="Book Antiqua"/>
                                <w:sz w:val="20"/>
                                <w:szCs w:val="20"/>
                              </w:rPr>
                            </w:pPr>
                            <w:r w:rsidRPr="00CE68AF">
                              <w:rPr>
                                <w:rFonts w:ascii="Book Antiqua" w:hAnsi="Book Antiqua"/>
                                <w:sz w:val="20"/>
                                <w:szCs w:val="20"/>
                              </w:rPr>
                              <w:t>V prvom polroku 2018 vstúpil do celospoločenskej diskusie a legislatívneho procesu návrh zmeny</w:t>
                            </w:r>
                            <w:r w:rsidRPr="00A17410">
                              <w:rPr>
                                <w:rFonts w:ascii="Book Antiqua" w:hAnsi="Book Antiqua"/>
                                <w:sz w:val="20"/>
                                <w:szCs w:val="20"/>
                              </w:rPr>
                              <w:t xml:space="preserve"> </w:t>
                            </w:r>
                            <w:r>
                              <w:rPr>
                                <w:rFonts w:ascii="Book Antiqua" w:hAnsi="Book Antiqua"/>
                                <w:sz w:val="20"/>
                                <w:szCs w:val="20"/>
                              </w:rPr>
                              <w:t>ústavného zákona č. 460/1992 Zb. (Ústava Slovenskej republiky)</w:t>
                            </w:r>
                            <w:r w:rsidRPr="00CE68AF">
                              <w:rPr>
                                <w:rFonts w:ascii="Book Antiqua" w:hAnsi="Book Antiqua"/>
                                <w:sz w:val="20"/>
                                <w:szCs w:val="20"/>
                              </w:rPr>
                              <w:t xml:space="preserve">, ktorý by </w:t>
                            </w:r>
                            <w:r w:rsidRPr="00CE68AF">
                              <w:rPr>
                                <w:rFonts w:ascii="Book Antiqua" w:hAnsi="Book Antiqua"/>
                                <w:b/>
                                <w:sz w:val="20"/>
                                <w:szCs w:val="20"/>
                              </w:rPr>
                              <w:t xml:space="preserve">zastropoval dôchodkový vek napr.  na úrovni 64 rokov a umožnil ešte nižší dôchodkový vek pre osoby, ktoré vychovali dieťa/deti. </w:t>
                            </w:r>
                            <w:r w:rsidRPr="00CE68AF">
                              <w:rPr>
                                <w:rFonts w:ascii="Book Antiqua" w:hAnsi="Book Antiqua"/>
                                <w:sz w:val="20"/>
                                <w:szCs w:val="20"/>
                              </w:rPr>
                              <w:t>V súčasnosti</w:t>
                            </w:r>
                            <w:r w:rsidRPr="00A21DE1">
                              <w:rPr>
                                <w:rFonts w:ascii="Book Antiqua" w:hAnsi="Book Antiqua"/>
                                <w:sz w:val="20"/>
                                <w:szCs w:val="20"/>
                              </w:rPr>
                              <w:t xml:space="preserve"> </w:t>
                            </w:r>
                            <w:r>
                              <w:rPr>
                                <w:rFonts w:ascii="Book Antiqua" w:hAnsi="Book Antiqua"/>
                                <w:sz w:val="20"/>
                                <w:szCs w:val="20"/>
                              </w:rPr>
                              <w:t xml:space="preserve">prebiehajú rokovania a diskusie v NR SR k predmetnému návrhu.  </w:t>
                            </w:r>
                          </w:p>
                          <w:p w:rsidR="00057923" w:rsidRPr="007717BA" w:rsidRDefault="00057923" w:rsidP="00057923">
                            <w:pPr>
                              <w:spacing w:after="0"/>
                              <w:jc w:val="both"/>
                              <w:rPr>
                                <w:rFonts w:ascii="Book Antiqua" w:hAnsi="Book Antiqua"/>
                                <w:sz w:val="20"/>
                                <w:szCs w:val="20"/>
                              </w:rPr>
                            </w:pPr>
                            <w:r w:rsidRPr="00190934">
                              <w:rPr>
                                <w:rFonts w:ascii="Book Antiqua" w:hAnsi="Book Antiqua"/>
                                <w:b/>
                                <w:sz w:val="20"/>
                                <w:szCs w:val="20"/>
                              </w:rPr>
                              <w:t>Vyššie uvedené zmeny najmä zavedenie odvodovej úľavy do mesačnej výšky 200 eur a zavedenie stropu dôchodkového veku môžu mať podstatný vplyv na budúce správanie sa jednotlivcov v preddôchodkovom veku, ale aj samotných zamestnávateľov a môžu do značnej miery limitovať, resp. konkurovať aj budúcim návrhom pre postupný odchod do dôchodku.</w:t>
                            </w:r>
                            <w:r w:rsidRPr="00810F3F">
                              <w:rPr>
                                <w:rFonts w:ascii="Book Antiqua" w:hAnsi="Book Antiqua"/>
                                <w:b/>
                                <w:sz w:val="20"/>
                                <w:szCs w:val="20"/>
                              </w:rPr>
                              <w:t xml:space="preserve"> </w:t>
                            </w:r>
                            <w:r>
                              <w:rPr>
                                <w:rFonts w:ascii="Book Antiqua" w:hAnsi="Book Antiqua"/>
                                <w:b/>
                                <w:sz w:val="20"/>
                                <w:szCs w:val="20"/>
                              </w:rPr>
                              <w:t xml:space="preserve">Argumentáciu MF SR, že zavedenie preddôchodku bude znižovať budúci efektívny dôchodkový vek, je možné použiť aj na flexibilnejší odchod do dôchodku v rámci I. a II. dôchodkového piliera a samozrejme aj na zavedenie stropu dôchodkového veku. Tieto argumenty budú ešte znásobené skutočnosťou, že tieto prostriedky budú vyplácané najmä zo Sociálnej poisťovne, ktorej rozpočet patrí do rozpočtu verejnej správy.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8" o:spid="_x0000_s1028" type="#_x0000_t202" style="position:absolute;margin-left:9.35pt;margin-top:-38.65pt;width:441pt;height:1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seaAIAALcEAAAOAAAAZHJzL2Uyb0RvYy54bWysVEuO2zAM3RfoHQTtGztBPjNGnME0aYoC&#10;0w8w0wMwsvxBZVGVlNjpjXqOXqyUnMkk7a5oFgYpUk+Pj2SWd32r2EFa16DO+XiUcia1wKLRVc6/&#10;Pm3f3HDmPOgCFGqZ86N0/G71+tWyM5mcYI2qkJYRiHZZZ3Jee2+yJHGili24ERqpKViibcGTa6uk&#10;sNARequSSZrOkw5tYSwK6RydboYgX0X8spTCfy5LJz1TOSduPn5t/O7CN1ktIassmLoRJxrwDyxa&#10;aDQ9eobagAe2t81fUG0jLDos/Uhgm2BZNkLGGqiacfpHNY81GBlrIXGcOcvk/h+s+HT4YllTUO+o&#10;Uxpa6tGT7D0efv1kBpVkdE4idcZllPtoKNv3b7GnC7FgZx5QfHNM47oGXcl7a7GrJRREchxuJhdX&#10;BxwXQHbdRyzoMdh7jEB9adugIGnCCJ2adTw3iAgxQYezeZouUgoJio3TdHYzJS88AtnzfWOdfy+x&#10;ZcHIuaURiPhweHB+SH1OCc85VE2xbZSKztGtlWUHoGmhISuw40yB83SY8238RSy1b4n9kLeYpWcO&#10;Lt6PdK5wlWZdziezwJYJoDkvFXgyW0PKO11xBqqiBRLeDqpesbLV7kxru7idT+enmq8eCVVtwNUD&#10;rRgKaZCFbrzTRbQ9NGqwSTKlQ1jGNTmJE5oV+jN0yve7Pg7HJCCF2A6LI3XP4rBJtPlk1Gh/cNbR&#10;FlEx3/dgJcn2QdME3I6n07B20ZnOFhNy7GVkdxkBLQgq56TMYK59XNXAUuM9TUrZxBa+MDnNF21H&#10;VP20yWH9Lv2Y9fJ/s/oNAAD//wMAUEsDBBQABgAIAAAAIQCa1WBq3gAAAAsBAAAPAAAAZHJzL2Rv&#10;d25yZXYueG1sTI/NTsMwEITvSLyDtUjcWhuqJG2IUyFQLlwQhQNH197GKf6JYrcNb89yguPsfJqd&#10;abazd+yMUxpikHC3FMAw6GiG0Ev4eO8Wa2Apq2CUiwElfGOCbXt91ajaxEt4w/Mu94xCQqqVBJvz&#10;WHOetEWv0jKOGMg7xMmrTHLquZnUhcK94/dClNyrIdAHq0Z8sqi/dicvQXedmV+fSzxap18KtZqP&#10;xaeV8vZmfnwAlnHOfzD81qfq0FKnfTwFk5gjva6IlLCoqhUwAjZC0GVPTiHKCnjb8P8b2h8AAAD/&#10;/wMAUEsBAi0AFAAGAAgAAAAhALaDOJL+AAAA4QEAABMAAAAAAAAAAAAAAAAAAAAAAFtDb250ZW50&#10;X1R5cGVzXS54bWxQSwECLQAUAAYACAAAACEAOP0h/9YAAACUAQAACwAAAAAAAAAAAAAAAAAvAQAA&#10;X3JlbHMvLnJlbHNQSwECLQAUAAYACAAAACEASqVLHmgCAAC3BAAADgAAAAAAAAAAAAAAAAAuAgAA&#10;ZHJzL2Uyb0RvYy54bWxQSwECLQAUAAYACAAAACEAmtVgat4AAAALAQAADwAAAAAAAAAAAAAAAADC&#10;BAAAZHJzL2Rvd25yZXYueG1sUEsFBgAAAAAEAAQA8wAAAM0FAAAAAA==&#10;" fillcolor="#bfbfbf" strokecolor="#f79646" strokeweight="2pt">
                <v:textbox>
                  <w:txbxContent>
                    <w:p w:rsidR="00057923" w:rsidRPr="005142A6" w:rsidRDefault="00057923" w:rsidP="00057923">
                      <w:pPr>
                        <w:jc w:val="center"/>
                        <w:rPr>
                          <w:rFonts w:ascii="Book Antiqua" w:hAnsi="Book Antiqua"/>
                          <w:b/>
                          <w:sz w:val="20"/>
                          <w:szCs w:val="20"/>
                          <w:u w:val="single"/>
                        </w:rPr>
                      </w:pPr>
                      <w:r w:rsidRPr="005142A6">
                        <w:rPr>
                          <w:rFonts w:ascii="Book Antiqua" w:hAnsi="Book Antiqua"/>
                          <w:b/>
                          <w:sz w:val="20"/>
                          <w:szCs w:val="20"/>
                          <w:u w:val="single"/>
                        </w:rPr>
                        <w:t>BOX</w:t>
                      </w:r>
                      <w:r>
                        <w:rPr>
                          <w:rFonts w:ascii="Book Antiqua" w:hAnsi="Book Antiqua"/>
                          <w:b/>
                          <w:sz w:val="20"/>
                          <w:szCs w:val="20"/>
                          <w:u w:val="single"/>
                        </w:rPr>
                        <w:t xml:space="preserve"> 3</w:t>
                      </w:r>
                      <w:r w:rsidRPr="005142A6">
                        <w:rPr>
                          <w:rFonts w:ascii="Book Antiqua" w:hAnsi="Book Antiqua"/>
                          <w:b/>
                          <w:sz w:val="20"/>
                          <w:szCs w:val="20"/>
                          <w:u w:val="single"/>
                        </w:rPr>
                        <w:t>: Nedávne zmeny prijaté</w:t>
                      </w:r>
                      <w:r>
                        <w:rPr>
                          <w:rFonts w:ascii="Book Antiqua" w:hAnsi="Book Antiqua"/>
                          <w:b/>
                          <w:sz w:val="20"/>
                          <w:szCs w:val="20"/>
                          <w:u w:val="single"/>
                        </w:rPr>
                        <w:t>/navrhované</w:t>
                      </w:r>
                      <w:r w:rsidRPr="005142A6">
                        <w:rPr>
                          <w:rFonts w:ascii="Book Antiqua" w:hAnsi="Book Antiqua"/>
                          <w:b/>
                          <w:sz w:val="20"/>
                          <w:szCs w:val="20"/>
                          <w:u w:val="single"/>
                        </w:rPr>
                        <w:t xml:space="preserve"> v slovenskom </w:t>
                      </w:r>
                      <w:r>
                        <w:rPr>
                          <w:rFonts w:ascii="Book Antiqua" w:hAnsi="Book Antiqua"/>
                          <w:b/>
                          <w:sz w:val="20"/>
                          <w:szCs w:val="20"/>
                          <w:u w:val="single"/>
                        </w:rPr>
                        <w:t xml:space="preserve">                                                </w:t>
                      </w:r>
                      <w:r w:rsidRPr="005142A6">
                        <w:rPr>
                          <w:rFonts w:ascii="Book Antiqua" w:hAnsi="Book Antiqua"/>
                          <w:b/>
                          <w:sz w:val="20"/>
                          <w:szCs w:val="20"/>
                          <w:u w:val="single"/>
                        </w:rPr>
                        <w:t>odvodovo-dôchodkovom systéme</w:t>
                      </w:r>
                      <w:r>
                        <w:rPr>
                          <w:rFonts w:ascii="Book Antiqua" w:hAnsi="Book Antiqua"/>
                          <w:b/>
                          <w:sz w:val="20"/>
                          <w:szCs w:val="20"/>
                          <w:u w:val="single"/>
                        </w:rPr>
                        <w:t>.</w:t>
                      </w:r>
                    </w:p>
                    <w:p w:rsidR="00057923" w:rsidRPr="00D204F9" w:rsidRDefault="00057923" w:rsidP="00057923">
                      <w:pPr>
                        <w:spacing w:after="0"/>
                        <w:jc w:val="both"/>
                        <w:rPr>
                          <w:rFonts w:ascii="Book Antiqua" w:hAnsi="Book Antiqua"/>
                          <w:b/>
                          <w:i/>
                          <w:sz w:val="20"/>
                          <w:szCs w:val="20"/>
                        </w:rPr>
                      </w:pPr>
                      <w:r w:rsidRPr="00D204F9">
                        <w:rPr>
                          <w:rFonts w:ascii="Book Antiqua" w:hAnsi="Book Antiqua"/>
                          <w:sz w:val="20"/>
                          <w:szCs w:val="20"/>
                        </w:rPr>
                        <w:t xml:space="preserve">S účinnosťou </w:t>
                      </w:r>
                      <w:r w:rsidRPr="00D204F9">
                        <w:rPr>
                          <w:rFonts w:ascii="Book Antiqua" w:hAnsi="Book Antiqua"/>
                          <w:b/>
                          <w:i/>
                          <w:sz w:val="20"/>
                          <w:szCs w:val="20"/>
                        </w:rPr>
                        <w:t>od 1. júla 2018</w:t>
                      </w:r>
                      <w:r>
                        <w:rPr>
                          <w:rFonts w:ascii="Book Antiqua" w:hAnsi="Book Antiqua"/>
                          <w:sz w:val="20"/>
                          <w:szCs w:val="20"/>
                        </w:rPr>
                        <w:t xml:space="preserve"> je</w:t>
                      </w:r>
                      <w:r w:rsidRPr="00D204F9">
                        <w:rPr>
                          <w:rFonts w:ascii="Book Antiqua" w:hAnsi="Book Antiqua"/>
                          <w:sz w:val="20"/>
                          <w:szCs w:val="20"/>
                        </w:rPr>
                        <w:t xml:space="preserve"> umožnené poberateľom dôchodku, pracujúcim na základe dohôd o prácach vykonávaných mimo pracovného pomeru, využiť rovnakú výhodu, akú majú v súčasnosti žiaci stredných</w:t>
                      </w:r>
                      <w:r>
                        <w:rPr>
                          <w:rFonts w:ascii="Book Antiqua" w:hAnsi="Book Antiqua"/>
                          <w:sz w:val="20"/>
                          <w:szCs w:val="20"/>
                        </w:rPr>
                        <w:t xml:space="preserve"> škôl</w:t>
                      </w:r>
                      <w:r w:rsidRPr="00D204F9">
                        <w:rPr>
                          <w:rFonts w:ascii="Book Antiqua" w:hAnsi="Book Antiqua"/>
                          <w:sz w:val="20"/>
                          <w:szCs w:val="20"/>
                        </w:rPr>
                        <w:t xml:space="preserve"> a študenti vysokých škôl. Budú mať právo určiť si dohodu o prácach v</w:t>
                      </w:r>
                      <w:r w:rsidRPr="00810F3F">
                        <w:rPr>
                          <w:rFonts w:ascii="Book Antiqua" w:hAnsi="Book Antiqua"/>
                          <w:sz w:val="20"/>
                          <w:szCs w:val="20"/>
                        </w:rPr>
                        <w:t xml:space="preserve">ykonávaných mimo pracovného pomeru, na základe ktorej nebudú mať postavenie zamestnanca na účely dôchodkového poistenia. A tak oni a ich zamestnávatelia </w:t>
                      </w:r>
                      <w:r w:rsidRPr="00D204F9">
                        <w:rPr>
                          <w:rFonts w:ascii="Book Antiqua" w:hAnsi="Book Antiqua"/>
                          <w:b/>
                          <w:i/>
                          <w:sz w:val="20"/>
                          <w:szCs w:val="20"/>
                        </w:rPr>
                        <w:t xml:space="preserve">budú oslobodení od platenia odvodov na povinné dôchodkové poistenie a zamestnávatelia aj do rezervného fondu solidarity. </w:t>
                      </w:r>
                    </w:p>
                    <w:p w:rsidR="00057923" w:rsidRPr="00D204F9" w:rsidRDefault="00057923" w:rsidP="00057923">
                      <w:pPr>
                        <w:spacing w:after="0"/>
                        <w:jc w:val="both"/>
                        <w:rPr>
                          <w:rFonts w:ascii="Book Antiqua" w:hAnsi="Book Antiqua"/>
                          <w:sz w:val="20"/>
                          <w:szCs w:val="20"/>
                        </w:rPr>
                      </w:pPr>
                    </w:p>
                    <w:p w:rsidR="00057923" w:rsidRPr="00D204F9" w:rsidRDefault="00057923" w:rsidP="00057923">
                      <w:pPr>
                        <w:spacing w:after="0"/>
                        <w:jc w:val="both"/>
                        <w:rPr>
                          <w:rFonts w:ascii="Book Antiqua" w:hAnsi="Book Antiqua"/>
                          <w:b/>
                          <w:sz w:val="20"/>
                          <w:szCs w:val="20"/>
                        </w:rPr>
                      </w:pPr>
                      <w:r w:rsidRPr="00D204F9">
                        <w:rPr>
                          <w:rFonts w:ascii="Book Antiqua" w:hAnsi="Book Antiqua"/>
                          <w:b/>
                          <w:i/>
                          <w:sz w:val="20"/>
                          <w:szCs w:val="20"/>
                        </w:rPr>
                        <w:t>Oslobodenie bude v rovnakej výške</w:t>
                      </w:r>
                      <w:r w:rsidRPr="00D204F9">
                        <w:rPr>
                          <w:rFonts w:ascii="Book Antiqua" w:hAnsi="Book Antiqua"/>
                          <w:sz w:val="20"/>
                          <w:szCs w:val="20"/>
                        </w:rPr>
                        <w:t xml:space="preserve"> vymeriavacieho základu, ako je tomu už v súčasnosti u študentov - </w:t>
                      </w:r>
                      <w:r w:rsidRPr="00D204F9">
                        <w:rPr>
                          <w:rFonts w:ascii="Book Antiqua" w:hAnsi="Book Antiqua"/>
                          <w:b/>
                          <w:i/>
                          <w:sz w:val="20"/>
                          <w:szCs w:val="20"/>
                        </w:rPr>
                        <w:t>200 eur mesačne, čo predstavuje 2 400 eur ročne</w:t>
                      </w:r>
                      <w:r w:rsidRPr="00D204F9">
                        <w:rPr>
                          <w:rFonts w:ascii="Book Antiqua" w:hAnsi="Book Antiqua"/>
                          <w:i/>
                          <w:sz w:val="20"/>
                          <w:szCs w:val="20"/>
                        </w:rPr>
                        <w:t>.</w:t>
                      </w:r>
                      <w:r w:rsidRPr="00D204F9">
                        <w:rPr>
                          <w:rFonts w:ascii="Book Antiqua" w:hAnsi="Book Antiqua"/>
                          <w:sz w:val="20"/>
                          <w:szCs w:val="20"/>
                        </w:rPr>
                        <w:t xml:space="preserve"> Predmetné opatrenie sa týka poberateľov starobného dôchodku, invalidného dôchodku </w:t>
                      </w:r>
                      <w:r w:rsidRPr="00D204F9">
                        <w:rPr>
                          <w:rFonts w:ascii="Book Antiqua" w:hAnsi="Book Antiqua"/>
                          <w:b/>
                          <w:sz w:val="20"/>
                          <w:szCs w:val="20"/>
                        </w:rPr>
                        <w:t xml:space="preserve">a predčasného starobného dôchodku. To znamená, že zásada predčasný starobný dôchodok alebo zárobok platí v ešte benevolentenejšom režime </w:t>
                      </w:r>
                      <w:r w:rsidRPr="00D204F9">
                        <w:rPr>
                          <w:rFonts w:ascii="Book Antiqua" w:hAnsi="Book Antiqua"/>
                          <w:sz w:val="20"/>
                          <w:szCs w:val="20"/>
                        </w:rPr>
                        <w:t>(možnosť obchádzania exist</w:t>
                      </w:r>
                      <w:r>
                        <w:rPr>
                          <w:rFonts w:ascii="Book Antiqua" w:hAnsi="Book Antiqua"/>
                          <w:sz w:val="20"/>
                          <w:szCs w:val="20"/>
                        </w:rPr>
                        <w:t xml:space="preserve">ovala aj pred touto zmenou </w:t>
                      </w:r>
                      <w:r w:rsidRPr="00D204F9">
                        <w:rPr>
                          <w:rFonts w:ascii="Book Antiqua" w:hAnsi="Book Antiqua"/>
                          <w:sz w:val="20"/>
                          <w:szCs w:val="20"/>
                        </w:rPr>
                        <w:t xml:space="preserve"> prostredníctvom výkonu samostatnej zárobkovej činnosti pri nevzniknutí povinného dôchodkového poistenia resp.</w:t>
                      </w:r>
                      <w:r>
                        <w:rPr>
                          <w:rFonts w:ascii="Book Antiqua" w:hAnsi="Book Antiqua"/>
                          <w:sz w:val="20"/>
                          <w:szCs w:val="20"/>
                        </w:rPr>
                        <w:t xml:space="preserve"> uzatváraním určitých neštandardných kontraktov</w:t>
                      </w:r>
                      <w:r w:rsidRPr="00D204F9">
                        <w:rPr>
                          <w:rFonts w:ascii="Book Antiqua" w:hAnsi="Book Antiqua"/>
                          <w:sz w:val="20"/>
                          <w:szCs w:val="20"/>
                        </w:rPr>
                        <w:t xml:space="preserve"> /napr. príkazné zmluvy/).</w:t>
                      </w:r>
                      <w:r w:rsidRPr="00D204F9">
                        <w:rPr>
                          <w:rFonts w:ascii="Book Antiqua" w:hAnsi="Book Antiqua"/>
                          <w:b/>
                          <w:sz w:val="20"/>
                          <w:szCs w:val="20"/>
                        </w:rPr>
                        <w:t xml:space="preserve"> </w:t>
                      </w:r>
                    </w:p>
                    <w:p w:rsidR="00057923" w:rsidRPr="00D204F9" w:rsidRDefault="00057923" w:rsidP="00057923">
                      <w:pPr>
                        <w:spacing w:after="0"/>
                        <w:jc w:val="both"/>
                        <w:rPr>
                          <w:rFonts w:ascii="Book Antiqua" w:hAnsi="Book Antiqua"/>
                          <w:b/>
                          <w:sz w:val="20"/>
                          <w:szCs w:val="20"/>
                        </w:rPr>
                      </w:pPr>
                    </w:p>
                    <w:p w:rsidR="00057923" w:rsidRDefault="00057923" w:rsidP="00057923">
                      <w:pPr>
                        <w:spacing w:after="0"/>
                        <w:jc w:val="both"/>
                        <w:rPr>
                          <w:rFonts w:ascii="Book Antiqua" w:hAnsi="Book Antiqua"/>
                          <w:sz w:val="20"/>
                          <w:szCs w:val="20"/>
                        </w:rPr>
                      </w:pPr>
                      <w:r w:rsidRPr="00CE68AF">
                        <w:rPr>
                          <w:rFonts w:ascii="Book Antiqua" w:hAnsi="Book Antiqua"/>
                          <w:sz w:val="20"/>
                          <w:szCs w:val="20"/>
                        </w:rPr>
                        <w:t xml:space="preserve">Koncom roka 2017 sa v legislatívnom procese nachádzalo </w:t>
                      </w:r>
                      <w:r w:rsidRPr="004B190F">
                        <w:rPr>
                          <w:rFonts w:ascii="Book Antiqua" w:hAnsi="Book Antiqua"/>
                          <w:sz w:val="20"/>
                          <w:szCs w:val="20"/>
                        </w:rPr>
                        <w:t xml:space="preserve">aj </w:t>
                      </w:r>
                      <w:r w:rsidRPr="00903306">
                        <w:rPr>
                          <w:rFonts w:ascii="Book Antiqua" w:hAnsi="Book Antiqua"/>
                          <w:b/>
                          <w:sz w:val="20"/>
                          <w:szCs w:val="20"/>
                        </w:rPr>
                        <w:t xml:space="preserve">zavedenie </w:t>
                      </w:r>
                      <w:r w:rsidRPr="00CE68AF">
                        <w:rPr>
                          <w:rFonts w:ascii="Book Antiqua" w:hAnsi="Book Antiqua"/>
                          <w:b/>
                          <w:sz w:val="20"/>
                          <w:szCs w:val="20"/>
                        </w:rPr>
                        <w:t xml:space="preserve">preddôchodku s navrhovanou účinnosťou od 1. januára 2019. </w:t>
                      </w:r>
                      <w:r w:rsidRPr="00CE68AF">
                        <w:rPr>
                          <w:rFonts w:ascii="Book Antiqua" w:hAnsi="Book Antiqua"/>
                          <w:sz w:val="20"/>
                          <w:szCs w:val="20"/>
                        </w:rPr>
                        <w:t>Zavedenie</w:t>
                      </w:r>
                      <w:r w:rsidRPr="00203524">
                        <w:rPr>
                          <w:rFonts w:ascii="Book Antiqua" w:hAnsi="Book Antiqua"/>
                          <w:sz w:val="20"/>
                          <w:szCs w:val="20"/>
                        </w:rPr>
                        <w:t xml:space="preserve"> novej dávky z doplnkov</w:t>
                      </w:r>
                      <w:r>
                        <w:rPr>
                          <w:rFonts w:ascii="Book Antiqua" w:hAnsi="Book Antiqua"/>
                          <w:sz w:val="20"/>
                          <w:szCs w:val="20"/>
                        </w:rPr>
                        <w:t>ého dôchodkového sporenia</w:t>
                      </w:r>
                      <w:r w:rsidRPr="00203524">
                        <w:rPr>
                          <w:rFonts w:ascii="Book Antiqua" w:hAnsi="Book Antiqua"/>
                          <w:sz w:val="20"/>
                          <w:szCs w:val="20"/>
                        </w:rPr>
                        <w:t xml:space="preserve"> </w:t>
                      </w:r>
                      <w:r>
                        <w:rPr>
                          <w:rFonts w:ascii="Book Antiqua" w:hAnsi="Book Antiqua"/>
                          <w:sz w:val="20"/>
                          <w:szCs w:val="20"/>
                        </w:rPr>
                        <w:t>by umožnilo</w:t>
                      </w:r>
                      <w:r w:rsidRPr="00203524">
                        <w:rPr>
                          <w:rFonts w:ascii="Book Antiqua" w:hAnsi="Book Antiqua"/>
                          <w:sz w:val="20"/>
                          <w:szCs w:val="20"/>
                        </w:rPr>
                        <w:t xml:space="preserve"> účastníkom </w:t>
                      </w:r>
                      <w:r>
                        <w:rPr>
                          <w:rFonts w:ascii="Book Antiqua" w:hAnsi="Book Antiqua"/>
                          <w:sz w:val="20"/>
                          <w:szCs w:val="20"/>
                        </w:rPr>
                        <w:t xml:space="preserve">v preddôchodkovom veku </w:t>
                      </w:r>
                      <w:r w:rsidRPr="00203524">
                        <w:rPr>
                          <w:rFonts w:ascii="Book Antiqua" w:hAnsi="Book Antiqua"/>
                          <w:sz w:val="20"/>
                          <w:szCs w:val="20"/>
                        </w:rPr>
                        <w:t xml:space="preserve">odísť </w:t>
                      </w:r>
                      <w:r>
                        <w:rPr>
                          <w:rFonts w:ascii="Book Antiqua" w:hAnsi="Book Antiqua"/>
                          <w:sz w:val="20"/>
                          <w:szCs w:val="20"/>
                        </w:rPr>
                        <w:t xml:space="preserve">maximálne o 5 rokov </w:t>
                      </w:r>
                      <w:r w:rsidRPr="00203524">
                        <w:rPr>
                          <w:rFonts w:ascii="Book Antiqua" w:hAnsi="Book Antiqua"/>
                          <w:sz w:val="20"/>
                          <w:szCs w:val="20"/>
                        </w:rPr>
                        <w:t xml:space="preserve">skôr z pracovného trhu a financovať svoje životné náklady súkromnými prostriedkami z osobného účtu. </w:t>
                      </w:r>
                      <w:r>
                        <w:rPr>
                          <w:rFonts w:ascii="Book Antiqua" w:hAnsi="Book Antiqua"/>
                          <w:sz w:val="20"/>
                          <w:szCs w:val="20"/>
                        </w:rPr>
                        <w:t xml:space="preserve">Na základe </w:t>
                      </w:r>
                      <w:r w:rsidRPr="007726E3">
                        <w:rPr>
                          <w:rFonts w:ascii="Book Antiqua" w:hAnsi="Book Antiqua"/>
                          <w:b/>
                          <w:i/>
                          <w:sz w:val="20"/>
                          <w:szCs w:val="20"/>
                        </w:rPr>
                        <w:t>zásadných pripomienok Ministerstva financií Slovenskej republiky (MF SR) bol návrh preddôchodku MPSVR SR stiahnutý.</w:t>
                      </w:r>
                      <w:r>
                        <w:rPr>
                          <w:rFonts w:ascii="Book Antiqua" w:hAnsi="Book Antiqua"/>
                          <w:sz w:val="20"/>
                          <w:szCs w:val="20"/>
                        </w:rPr>
                        <w:t xml:space="preserve"> Zo strany MF SR sa jednalo hlavne o sprísnenie podmienok nároku na preddôchodok tak, aby sa výrazne znížil okruh osôb, ktoré by mohli preddôchodok poberať a skrátilo sa taktiež obdobie, v ktorom by ho mohli poberať. Ako dôvod uviedli nasledovné argumenty: </w:t>
                      </w:r>
                    </w:p>
                    <w:p w:rsidR="00057923" w:rsidRPr="00A21DE1" w:rsidRDefault="00057923" w:rsidP="00057923">
                      <w:pPr>
                        <w:pStyle w:val="Odsekzoznamu"/>
                        <w:numPr>
                          <w:ilvl w:val="0"/>
                          <w:numId w:val="23"/>
                        </w:numPr>
                        <w:spacing w:after="0"/>
                        <w:jc w:val="both"/>
                      </w:pPr>
                      <w:r w:rsidRPr="00A21DE1">
                        <w:rPr>
                          <w:rFonts w:ascii="Book Antiqua" w:hAnsi="Book Antiqua"/>
                          <w:sz w:val="20"/>
                          <w:szCs w:val="20"/>
                        </w:rPr>
                        <w:t xml:space="preserve">Zavedenie preddôchodku v navrhovanej podobe vytvorí motiváciu na skorší odchod z trhu práce, </w:t>
                      </w:r>
                      <w:r w:rsidRPr="00EF58BB">
                        <w:rPr>
                          <w:rFonts w:ascii="Book Antiqua" w:hAnsi="Book Antiqua"/>
                          <w:b/>
                          <w:sz w:val="20"/>
                          <w:szCs w:val="20"/>
                        </w:rPr>
                        <w:t>čo následne spôsobí zníženie efektívneho dôchodkového veku</w:t>
                      </w:r>
                      <w:r>
                        <w:rPr>
                          <w:rFonts w:ascii="Book Antiqua" w:hAnsi="Book Antiqua"/>
                          <w:sz w:val="20"/>
                          <w:szCs w:val="20"/>
                        </w:rPr>
                        <w:t xml:space="preserve">, t.j. </w:t>
                      </w:r>
                      <w:r w:rsidRPr="00A21DE1">
                        <w:rPr>
                          <w:rFonts w:ascii="Book Antiqua" w:hAnsi="Book Antiqua"/>
                          <w:sz w:val="20"/>
                          <w:szCs w:val="20"/>
                        </w:rPr>
                        <w:t>menší počet pracujúcich a výpadok daňových príjmov a odvodových príjmov.</w:t>
                      </w:r>
                    </w:p>
                    <w:p w:rsidR="00057923" w:rsidRPr="00204F31" w:rsidRDefault="00057923" w:rsidP="00057923">
                      <w:pPr>
                        <w:pStyle w:val="Odsekzoznamu"/>
                        <w:numPr>
                          <w:ilvl w:val="0"/>
                          <w:numId w:val="23"/>
                        </w:numPr>
                        <w:spacing w:after="0"/>
                        <w:jc w:val="both"/>
                        <w:rPr>
                          <w:rFonts w:ascii="Book Antiqua" w:hAnsi="Book Antiqua"/>
                          <w:sz w:val="20"/>
                          <w:szCs w:val="20"/>
                        </w:rPr>
                      </w:pPr>
                      <w:r w:rsidRPr="00A21DE1">
                        <w:rPr>
                          <w:rFonts w:ascii="Book Antiqua" w:hAnsi="Book Antiqua"/>
                          <w:sz w:val="20"/>
                          <w:szCs w:val="20"/>
                        </w:rPr>
                        <w:t>Súčasný sociálny systém je dostatočne flexibilný v prípade straty schopnosti</w:t>
                      </w:r>
                      <w:r>
                        <w:rPr>
                          <w:rFonts w:ascii="Book Antiqua" w:hAnsi="Book Antiqua"/>
                          <w:sz w:val="20"/>
                          <w:szCs w:val="20"/>
                        </w:rPr>
                        <w:t>, resp. možnosti pracovať. Pod</w:t>
                      </w:r>
                      <w:r w:rsidRPr="00A21DE1">
                        <w:rPr>
                          <w:rFonts w:ascii="Book Antiqua" w:hAnsi="Book Antiqua"/>
                          <w:sz w:val="20"/>
                          <w:szCs w:val="20"/>
                        </w:rPr>
                        <w:t>systém</w:t>
                      </w:r>
                      <w:r>
                        <w:rPr>
                          <w:rFonts w:ascii="Book Antiqua" w:hAnsi="Book Antiqua"/>
                          <w:sz w:val="20"/>
                          <w:szCs w:val="20"/>
                        </w:rPr>
                        <w:t xml:space="preserve"> invalidného poistenia</w:t>
                      </w:r>
                      <w:r w:rsidRPr="00A21DE1">
                        <w:rPr>
                          <w:rFonts w:ascii="Book Antiqua" w:hAnsi="Book Antiqua"/>
                          <w:sz w:val="20"/>
                          <w:szCs w:val="20"/>
                        </w:rPr>
                        <w:t xml:space="preserve"> </w:t>
                      </w:r>
                      <w:r>
                        <w:rPr>
                          <w:rFonts w:ascii="Book Antiqua" w:hAnsi="Book Antiqua"/>
                          <w:sz w:val="20"/>
                          <w:szCs w:val="20"/>
                        </w:rPr>
                        <w:t xml:space="preserve">v súčasnosti </w:t>
                      </w:r>
                      <w:r w:rsidRPr="00A21DE1">
                        <w:rPr>
                          <w:rFonts w:ascii="Book Antiqua" w:hAnsi="Book Antiqua"/>
                          <w:sz w:val="20"/>
                          <w:szCs w:val="20"/>
                        </w:rPr>
                        <w:t xml:space="preserve">umožňuje opustiť trh práce, ak zdravotné dôvody spôsobujú stratu schopnosti pracovať. </w:t>
                      </w:r>
                      <w:r>
                        <w:rPr>
                          <w:rFonts w:ascii="Book Antiqua" w:hAnsi="Book Antiqua"/>
                          <w:sz w:val="20"/>
                          <w:szCs w:val="20"/>
                        </w:rPr>
                        <w:t>Taktiež ú</w:t>
                      </w:r>
                      <w:r w:rsidRPr="00A21DE1">
                        <w:rPr>
                          <w:rFonts w:ascii="Book Antiqua" w:hAnsi="Book Antiqua"/>
                          <w:sz w:val="20"/>
                          <w:szCs w:val="20"/>
                        </w:rPr>
                        <w:t>rady práce vytvárajú priestor pre opätovné zaradenie</w:t>
                      </w:r>
                      <w:r>
                        <w:rPr>
                          <w:rFonts w:ascii="Book Antiqua" w:hAnsi="Book Antiqua"/>
                          <w:sz w:val="20"/>
                          <w:szCs w:val="20"/>
                        </w:rPr>
                        <w:t xml:space="preserve"> nezamestnaných osôb</w:t>
                      </w:r>
                      <w:r w:rsidRPr="00A21DE1">
                        <w:rPr>
                          <w:rFonts w:ascii="Book Antiqua" w:hAnsi="Book Antiqua"/>
                          <w:sz w:val="20"/>
                          <w:szCs w:val="20"/>
                        </w:rPr>
                        <w:t xml:space="preserve"> na trh práce.</w:t>
                      </w:r>
                    </w:p>
                    <w:p w:rsidR="00057923" w:rsidRDefault="00057923" w:rsidP="00057923">
                      <w:pPr>
                        <w:pStyle w:val="Odsekzoznamu"/>
                        <w:numPr>
                          <w:ilvl w:val="0"/>
                          <w:numId w:val="23"/>
                        </w:numPr>
                        <w:spacing w:after="0"/>
                        <w:jc w:val="both"/>
                        <w:rPr>
                          <w:rFonts w:ascii="Book Antiqua" w:hAnsi="Book Antiqua"/>
                          <w:sz w:val="20"/>
                          <w:szCs w:val="20"/>
                        </w:rPr>
                      </w:pPr>
                      <w:r w:rsidRPr="00A21DE1">
                        <w:rPr>
                          <w:rFonts w:ascii="Book Antiqua" w:hAnsi="Book Antiqua"/>
                          <w:sz w:val="20"/>
                          <w:szCs w:val="20"/>
                        </w:rPr>
                        <w:t xml:space="preserve">Preddôchodok zníži reálne príjmy v starobe. </w:t>
                      </w:r>
                      <w:r w:rsidRPr="00A17410">
                        <w:rPr>
                          <w:rFonts w:ascii="Book Antiqua" w:hAnsi="Book Antiqua"/>
                          <w:sz w:val="20"/>
                          <w:szCs w:val="20"/>
                        </w:rPr>
                        <w:t xml:space="preserve"> </w:t>
                      </w:r>
                      <w:r>
                        <w:rPr>
                          <w:rFonts w:ascii="Book Antiqua" w:hAnsi="Book Antiqua"/>
                          <w:sz w:val="20"/>
                          <w:szCs w:val="20"/>
                        </w:rPr>
                        <w:t>Účastníci minú svoje úspory z III.</w:t>
                      </w:r>
                      <w:r w:rsidRPr="00A21DE1">
                        <w:rPr>
                          <w:rFonts w:ascii="Book Antiqua" w:hAnsi="Book Antiqua"/>
                          <w:sz w:val="20"/>
                          <w:szCs w:val="20"/>
                        </w:rPr>
                        <w:t xml:space="preserve"> piliera ešt</w:t>
                      </w:r>
                      <w:r>
                        <w:rPr>
                          <w:rFonts w:ascii="Book Antiqua" w:hAnsi="Book Antiqua"/>
                          <w:sz w:val="20"/>
                          <w:szCs w:val="20"/>
                        </w:rPr>
                        <w:t>e pred vekom odchodu do dôchodku.</w:t>
                      </w:r>
                    </w:p>
                    <w:p w:rsidR="00057923" w:rsidRDefault="00057923" w:rsidP="00057923">
                      <w:pPr>
                        <w:jc w:val="both"/>
                        <w:rPr>
                          <w:rFonts w:ascii="Book Antiqua" w:hAnsi="Book Antiqua"/>
                          <w:sz w:val="20"/>
                          <w:szCs w:val="20"/>
                        </w:rPr>
                      </w:pPr>
                      <w:r>
                        <w:rPr>
                          <w:rFonts w:ascii="Book Antiqua" w:hAnsi="Book Antiqua"/>
                          <w:sz w:val="20"/>
                          <w:szCs w:val="20"/>
                        </w:rPr>
                        <w:t>V súčasnosti</w:t>
                      </w:r>
                      <w:r w:rsidRPr="00A21DE1">
                        <w:rPr>
                          <w:rFonts w:ascii="Book Antiqua" w:hAnsi="Book Antiqua"/>
                          <w:sz w:val="20"/>
                          <w:szCs w:val="20"/>
                        </w:rPr>
                        <w:t xml:space="preserve"> </w:t>
                      </w:r>
                      <w:r>
                        <w:rPr>
                          <w:rFonts w:ascii="Book Antiqua" w:hAnsi="Book Antiqua"/>
                          <w:sz w:val="20"/>
                          <w:szCs w:val="20"/>
                        </w:rPr>
                        <w:t>prebiehajú rokovania o alternatívnych možnostiach zavedenia preddôchodku s MF SR ako aj s Konfederáciou odborových zväzov.</w:t>
                      </w:r>
                    </w:p>
                    <w:p w:rsidR="00057923" w:rsidRPr="007717BA" w:rsidRDefault="00057923" w:rsidP="00057923">
                      <w:pPr>
                        <w:jc w:val="both"/>
                        <w:rPr>
                          <w:rFonts w:ascii="Book Antiqua" w:hAnsi="Book Antiqua"/>
                          <w:sz w:val="20"/>
                          <w:szCs w:val="20"/>
                        </w:rPr>
                      </w:pPr>
                      <w:r w:rsidRPr="00CE68AF">
                        <w:rPr>
                          <w:rFonts w:ascii="Book Antiqua" w:hAnsi="Book Antiqua"/>
                          <w:sz w:val="20"/>
                          <w:szCs w:val="20"/>
                        </w:rPr>
                        <w:t>V prvom polroku 2018 vstúpil do celospoločenskej diskusie a legislatívneho procesu návrh zmeny</w:t>
                      </w:r>
                      <w:r w:rsidRPr="00A17410">
                        <w:rPr>
                          <w:rFonts w:ascii="Book Antiqua" w:hAnsi="Book Antiqua"/>
                          <w:sz w:val="20"/>
                          <w:szCs w:val="20"/>
                        </w:rPr>
                        <w:t xml:space="preserve"> </w:t>
                      </w:r>
                      <w:r>
                        <w:rPr>
                          <w:rFonts w:ascii="Book Antiqua" w:hAnsi="Book Antiqua"/>
                          <w:sz w:val="20"/>
                          <w:szCs w:val="20"/>
                        </w:rPr>
                        <w:t>ústavného zákona č. 460/1992 Zb. (Ústava Slovenskej republiky)</w:t>
                      </w:r>
                      <w:r w:rsidRPr="00CE68AF">
                        <w:rPr>
                          <w:rFonts w:ascii="Book Antiqua" w:hAnsi="Book Antiqua"/>
                          <w:sz w:val="20"/>
                          <w:szCs w:val="20"/>
                        </w:rPr>
                        <w:t xml:space="preserve">, ktorý by </w:t>
                      </w:r>
                      <w:r w:rsidRPr="00CE68AF">
                        <w:rPr>
                          <w:rFonts w:ascii="Book Antiqua" w:hAnsi="Book Antiqua"/>
                          <w:b/>
                          <w:sz w:val="20"/>
                          <w:szCs w:val="20"/>
                        </w:rPr>
                        <w:t xml:space="preserve">zastropoval dôchodkový vek napr.  na úrovni 64 rokov a umožnil ešte nižší dôchodkový vek pre osoby, ktoré vychovali dieťa/deti. </w:t>
                      </w:r>
                      <w:r w:rsidRPr="00CE68AF">
                        <w:rPr>
                          <w:rFonts w:ascii="Book Antiqua" w:hAnsi="Book Antiqua"/>
                          <w:sz w:val="20"/>
                          <w:szCs w:val="20"/>
                        </w:rPr>
                        <w:t>V súčasnosti</w:t>
                      </w:r>
                      <w:r w:rsidRPr="00A21DE1">
                        <w:rPr>
                          <w:rFonts w:ascii="Book Antiqua" w:hAnsi="Book Antiqua"/>
                          <w:sz w:val="20"/>
                          <w:szCs w:val="20"/>
                        </w:rPr>
                        <w:t xml:space="preserve"> </w:t>
                      </w:r>
                      <w:r>
                        <w:rPr>
                          <w:rFonts w:ascii="Book Antiqua" w:hAnsi="Book Antiqua"/>
                          <w:sz w:val="20"/>
                          <w:szCs w:val="20"/>
                        </w:rPr>
                        <w:t xml:space="preserve">prebiehajú rokovania a diskusie v NR SR k predmetnému návrhu.  </w:t>
                      </w:r>
                    </w:p>
                    <w:p w:rsidR="00057923" w:rsidRPr="007717BA" w:rsidRDefault="00057923" w:rsidP="00057923">
                      <w:pPr>
                        <w:spacing w:after="0"/>
                        <w:jc w:val="both"/>
                        <w:rPr>
                          <w:rFonts w:ascii="Book Antiqua" w:hAnsi="Book Antiqua"/>
                          <w:sz w:val="20"/>
                          <w:szCs w:val="20"/>
                        </w:rPr>
                      </w:pPr>
                      <w:r w:rsidRPr="00190934">
                        <w:rPr>
                          <w:rFonts w:ascii="Book Antiqua" w:hAnsi="Book Antiqua"/>
                          <w:b/>
                          <w:sz w:val="20"/>
                          <w:szCs w:val="20"/>
                        </w:rPr>
                        <w:t>Vyššie uvedené zmeny najmä zavedenie odvodovej úľavy do mesačnej výšky 200 eur a zavedenie stropu dôchodkového veku môžu mať podstatný vplyv na budúce správanie sa jednotlivcov v preddôchodkovom veku, ale aj samotných zamestnávateľov a môžu do značnej miery limitovať, resp. konkurovať aj budúcim návrhom pre postupný odchod do dôchodku.</w:t>
                      </w:r>
                      <w:r w:rsidRPr="00810F3F">
                        <w:rPr>
                          <w:rFonts w:ascii="Book Antiqua" w:hAnsi="Book Antiqua"/>
                          <w:b/>
                          <w:sz w:val="20"/>
                          <w:szCs w:val="20"/>
                        </w:rPr>
                        <w:t xml:space="preserve"> </w:t>
                      </w:r>
                      <w:r>
                        <w:rPr>
                          <w:rFonts w:ascii="Book Antiqua" w:hAnsi="Book Antiqua"/>
                          <w:b/>
                          <w:sz w:val="20"/>
                          <w:szCs w:val="20"/>
                        </w:rPr>
                        <w:t xml:space="preserve">Argumentáciu MF SR, že zavedenie preddôchodku bude znižovať budúci efektívny dôchodkový vek, je možné použiť aj na flexibilnejší odchod do dôchodku v rámci I. a II. dôchodkového piliera a samozrejme aj na zavedenie stropu dôchodkového veku. Tieto argumenty budú ešte znásobené skutočnosťou, že tieto prostriedky budú vyplácané najmä zo Sociálnej poisťovne, ktorej rozpočet patrí do rozpočtu verejnej správy. </w:t>
                      </w:r>
                    </w:p>
                  </w:txbxContent>
                </v:textbox>
                <w10:wrap type="topAndBottom"/>
              </v:shape>
            </w:pict>
          </mc:Fallback>
        </mc:AlternateContent>
      </w:r>
    </w:p>
    <w:p w:rsidR="00057923" w:rsidRPr="00057923" w:rsidRDefault="00057923" w:rsidP="00057923">
      <w:pPr>
        <w:spacing w:after="200" w:line="276" w:lineRule="auto"/>
        <w:jc w:val="both"/>
        <w:rPr>
          <w:rFonts w:ascii="Book Antiqua" w:eastAsia="Times New Roman" w:hAnsi="Book Antiqua" w:cs="Times New Roman"/>
          <w:b/>
        </w:rPr>
      </w:pPr>
      <w:r w:rsidRPr="00057923">
        <w:rPr>
          <w:rFonts w:ascii="Book Antiqua" w:eastAsia="Times New Roman" w:hAnsi="Book Antiqua" w:cs="Times New Roman"/>
          <w:b/>
          <w:i/>
        </w:rPr>
        <w:lastRenderedPageBreak/>
        <w:t>3.2 Príklad prístupu Nemecka k téme flexibilného odchodu do dôchodku</w:t>
      </w: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Zákon o flexibilnom dôchodku (</w:t>
      </w:r>
      <w:proofErr w:type="spellStart"/>
      <w:r w:rsidRPr="00057923">
        <w:rPr>
          <w:rFonts w:ascii="Book Antiqua" w:eastAsia="Times New Roman" w:hAnsi="Book Antiqua" w:cs="Times New Roman"/>
        </w:rPr>
        <w:t>Flexirentengesetz</w:t>
      </w:r>
      <w:proofErr w:type="spellEnd"/>
      <w:r w:rsidRPr="00057923">
        <w:rPr>
          <w:rFonts w:ascii="Book Antiqua" w:eastAsia="Times New Roman" w:hAnsi="Book Antiqua" w:cs="Times New Roman"/>
        </w:rPr>
        <w:t xml:space="preserve">) s účinnosťou </w:t>
      </w:r>
      <w:r w:rsidRPr="00057923">
        <w:rPr>
          <w:rFonts w:ascii="Book Antiqua" w:eastAsia="Times New Roman" w:hAnsi="Book Antiqua" w:cs="Times New Roman"/>
          <w:b/>
          <w:i/>
        </w:rPr>
        <w:t>od 1. júla 2017 bol v Nemecku schválený</w:t>
      </w:r>
      <w:r w:rsidRPr="00057923">
        <w:rPr>
          <w:rFonts w:ascii="Book Antiqua" w:eastAsia="Times New Roman" w:hAnsi="Book Antiqua" w:cs="Times New Roman"/>
        </w:rPr>
        <w:t xml:space="preserve"> za účelom podporenia výkonu zárobkovej činnosti po dovŕšení dôchodkového veku (67 rokov) a tiež </w:t>
      </w:r>
      <w:r w:rsidRPr="00057923">
        <w:rPr>
          <w:rFonts w:ascii="Book Antiqua" w:eastAsia="Times New Roman" w:hAnsi="Book Antiqua" w:cs="Times New Roman"/>
          <w:b/>
        </w:rPr>
        <w:t>umožnením vyššieho zárobku pre poberateľov čiastočného dôchodku vo veku 63 až 67 rokov (</w:t>
      </w:r>
      <w:proofErr w:type="spellStart"/>
      <w:r w:rsidRPr="00057923">
        <w:rPr>
          <w:rFonts w:ascii="Book Antiqua" w:eastAsia="Times New Roman" w:hAnsi="Book Antiqua" w:cs="Times New Roman"/>
          <w:b/>
        </w:rPr>
        <w:t>Flexi</w:t>
      </w:r>
      <w:proofErr w:type="spellEnd"/>
      <w:r w:rsidRPr="00057923">
        <w:rPr>
          <w:rFonts w:ascii="Book Antiqua" w:eastAsia="Times New Roman" w:hAnsi="Book Antiqua" w:cs="Times New Roman"/>
          <w:b/>
        </w:rPr>
        <w:t xml:space="preserve"> Rente)</w:t>
      </w:r>
      <w:r w:rsidRPr="00057923">
        <w:rPr>
          <w:rFonts w:ascii="Book Antiqua" w:eastAsia="Times New Roman" w:hAnsi="Book Antiqua" w:cs="Times New Roman"/>
        </w:rPr>
        <w:t xml:space="preserve">. </w:t>
      </w: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Predmetné ustanovenia umožnia kombinovať čiastkový dôchodok s doplnkovým príjmom zo zárobkovej činnosti viac flexibilnejším spôsobom – </w:t>
      </w:r>
      <w:r w:rsidRPr="00057923">
        <w:rPr>
          <w:rFonts w:ascii="Book Antiqua" w:eastAsia="Times New Roman" w:hAnsi="Book Antiqua" w:cs="Times New Roman"/>
          <w:b/>
        </w:rPr>
        <w:t>čiastočný dôchodok bude testovaný voči príjmu zo zárobkovej činnosti progresívne na ročnej báze</w:t>
      </w:r>
      <w:r w:rsidRPr="00057923">
        <w:rPr>
          <w:rFonts w:ascii="Book Antiqua" w:eastAsia="Times New Roman" w:hAnsi="Book Antiqua" w:cs="Times New Roman"/>
        </w:rPr>
        <w:t xml:space="preserve"> (zostáva však v platnosti aj ročný limit na zárobky, ktorý sa neberie do úvahy 6 300 eur/ročne). </w:t>
      </w: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0" w:line="276" w:lineRule="auto"/>
        <w:jc w:val="both"/>
        <w:rPr>
          <w:rFonts w:ascii="Book Antiqua" w:eastAsia="Times New Roman" w:hAnsi="Book Antiqua" w:cs="Times New Roman"/>
          <w:b/>
          <w:i/>
        </w:rPr>
      </w:pPr>
      <w:r w:rsidRPr="00057923">
        <w:rPr>
          <w:rFonts w:ascii="Book Antiqua" w:eastAsia="Times New Roman" w:hAnsi="Book Antiqua" w:cs="Times New Roman"/>
          <w:b/>
          <w:i/>
        </w:rPr>
        <w:t xml:space="preserve">Príklad odchodu do dôchodku prostredníctvom </w:t>
      </w:r>
      <w:proofErr w:type="spellStart"/>
      <w:r w:rsidRPr="00057923">
        <w:rPr>
          <w:rFonts w:ascii="Book Antiqua" w:eastAsia="Times New Roman" w:hAnsi="Book Antiqua" w:cs="Times New Roman"/>
          <w:b/>
          <w:i/>
        </w:rPr>
        <w:t>Flexi</w:t>
      </w:r>
      <w:proofErr w:type="spellEnd"/>
      <w:r w:rsidRPr="00057923">
        <w:rPr>
          <w:rFonts w:ascii="Book Antiqua" w:eastAsia="Times New Roman" w:hAnsi="Book Antiqua" w:cs="Times New Roman"/>
          <w:b/>
          <w:i/>
        </w:rPr>
        <w:t>-rente</w:t>
      </w:r>
    </w:p>
    <w:p w:rsidR="00057923" w:rsidRPr="00057923" w:rsidRDefault="00057923" w:rsidP="00057923">
      <w:pPr>
        <w:spacing w:after="120" w:line="276" w:lineRule="auto"/>
        <w:jc w:val="both"/>
        <w:rPr>
          <w:rFonts w:ascii="Book Antiqua" w:eastAsia="Times New Roman" w:hAnsi="Book Antiqua" w:cs="Times New Roman"/>
          <w:i/>
        </w:rPr>
      </w:pPr>
      <w:r w:rsidRPr="00057923">
        <w:rPr>
          <w:rFonts w:ascii="Book Antiqua" w:eastAsia="Times New Roman" w:hAnsi="Book Antiqua" w:cs="Times New Roman"/>
          <w:i/>
        </w:rPr>
        <w:t xml:space="preserve">Osoba dosiahla vek 63 rokov, pričom z posledných 15 rokov dosahovala priemerne ročný príjem 50 000 eur. Rozhodne sa pre čiastočný dôchodok s tým, že na čiastočný pracovný úväzok zarobí ročne 25 000 eur (t. j. 2 100 eur mesačne v hrubom). </w:t>
      </w:r>
    </w:p>
    <w:p w:rsidR="00057923" w:rsidRPr="00057923" w:rsidRDefault="00057923" w:rsidP="00057923">
      <w:pPr>
        <w:spacing w:after="120" w:line="276" w:lineRule="auto"/>
        <w:jc w:val="both"/>
        <w:rPr>
          <w:rFonts w:ascii="Book Antiqua" w:eastAsia="Times New Roman" w:hAnsi="Book Antiqua" w:cs="Times New Roman"/>
          <w:i/>
        </w:rPr>
      </w:pPr>
      <w:r w:rsidRPr="00057923">
        <w:rPr>
          <w:rFonts w:ascii="Book Antiqua" w:eastAsia="Times New Roman" w:hAnsi="Book Antiqua" w:cs="Times New Roman"/>
          <w:i/>
        </w:rPr>
        <w:t xml:space="preserve">Z tejto sumy sa mu odpočíta ročný limit na zárobky = 25 000 – 6 300 = 18 700 eur.  </w:t>
      </w:r>
    </w:p>
    <w:p w:rsidR="00057923" w:rsidRPr="00057923" w:rsidRDefault="00057923" w:rsidP="00057923">
      <w:pPr>
        <w:spacing w:after="120" w:line="276" w:lineRule="auto"/>
        <w:jc w:val="both"/>
        <w:rPr>
          <w:rFonts w:ascii="Book Antiqua" w:eastAsia="Times New Roman" w:hAnsi="Book Antiqua" w:cs="Times New Roman"/>
          <w:i/>
        </w:rPr>
      </w:pPr>
      <w:r w:rsidRPr="00057923">
        <w:rPr>
          <w:rFonts w:ascii="Book Antiqua" w:eastAsia="Times New Roman" w:hAnsi="Book Antiqua" w:cs="Times New Roman"/>
          <w:i/>
        </w:rPr>
        <w:t xml:space="preserve">V ďalšom kroku sa vynásobí 18 700 x 40%= 7 480 eur. </w:t>
      </w:r>
    </w:p>
    <w:p w:rsidR="00057923" w:rsidRPr="00057923" w:rsidRDefault="00057923" w:rsidP="00057923">
      <w:pPr>
        <w:spacing w:after="120" w:line="276" w:lineRule="auto"/>
        <w:jc w:val="both"/>
        <w:rPr>
          <w:rFonts w:ascii="Book Antiqua" w:eastAsia="Times New Roman" w:hAnsi="Book Antiqua" w:cs="Times New Roman"/>
          <w:i/>
        </w:rPr>
      </w:pPr>
      <w:r w:rsidRPr="00057923">
        <w:rPr>
          <w:rFonts w:ascii="Book Antiqua" w:eastAsia="Times New Roman" w:hAnsi="Book Antiqua" w:cs="Times New Roman"/>
          <w:i/>
        </w:rPr>
        <w:t>V prípade, že má osoba dôchodkové nároky na úrovni 1 500 eur mesačne, zodpovedá to 18 000 eur ročne (uplatňuje sa znižovanie o 0,3% za každý mesiac o ktoré ide osoba skôr do dôchodku).</w:t>
      </w:r>
    </w:p>
    <w:p w:rsidR="00057923" w:rsidRPr="00057923" w:rsidRDefault="00057923" w:rsidP="00057923">
      <w:pPr>
        <w:spacing w:after="120" w:line="276" w:lineRule="auto"/>
        <w:jc w:val="both"/>
        <w:rPr>
          <w:rFonts w:ascii="Book Antiqua" w:eastAsia="Times New Roman" w:hAnsi="Book Antiqua" w:cs="Times New Roman"/>
          <w:i/>
        </w:rPr>
      </w:pPr>
      <w:r w:rsidRPr="00057923">
        <w:rPr>
          <w:rFonts w:ascii="Book Antiqua" w:eastAsia="Times New Roman" w:hAnsi="Book Antiqua" w:cs="Times New Roman"/>
          <w:i/>
        </w:rPr>
        <w:t xml:space="preserve">Môže teda požiadať o vyplácanie čiastočného dôchodku 18 000 – 7 480 = 10 520 eur ročne, t. j. 876,7 eura mesačne.  </w:t>
      </w:r>
    </w:p>
    <w:p w:rsidR="00057923" w:rsidRPr="00057923" w:rsidRDefault="00057923" w:rsidP="00057923">
      <w:pPr>
        <w:spacing w:after="0" w:line="276" w:lineRule="auto"/>
        <w:jc w:val="both"/>
        <w:rPr>
          <w:rFonts w:ascii="Book Antiqua" w:eastAsia="Times New Roman" w:hAnsi="Book Antiqua" w:cs="Times New Roman"/>
          <w:i/>
        </w:rPr>
      </w:pPr>
      <w:r w:rsidRPr="00057923">
        <w:rPr>
          <w:rFonts w:ascii="Book Antiqua" w:eastAsia="Times New Roman" w:hAnsi="Book Antiqua" w:cs="Times New Roman"/>
          <w:i/>
        </w:rPr>
        <w:t xml:space="preserve">Spolu s príjmom zo zárobkovej činnosti teda bude mať celkový mesačný hrubý príjem 2 100 + 876,7 =  2 976,7 eura. </w:t>
      </w:r>
    </w:p>
    <w:p w:rsidR="00057923" w:rsidRPr="00057923" w:rsidRDefault="00057923" w:rsidP="00057923">
      <w:pPr>
        <w:spacing w:after="0" w:line="276" w:lineRule="auto"/>
        <w:jc w:val="both"/>
        <w:rPr>
          <w:rFonts w:ascii="Book Antiqua" w:eastAsia="Times New Roman" w:hAnsi="Book Antiqua" w:cs="Times New Roman"/>
          <w:i/>
        </w:rPr>
      </w:pPr>
    </w:p>
    <w:p w:rsidR="00057923" w:rsidRPr="00057923" w:rsidRDefault="00057923" w:rsidP="00057923">
      <w:pPr>
        <w:spacing w:after="120" w:line="276" w:lineRule="auto"/>
        <w:jc w:val="both"/>
        <w:rPr>
          <w:rFonts w:ascii="Book Antiqua" w:eastAsia="Times New Roman" w:hAnsi="Book Antiqua" w:cs="Times New Roman"/>
          <w:b/>
          <w:i/>
        </w:rPr>
      </w:pPr>
      <w:r w:rsidRPr="00057923">
        <w:rPr>
          <w:rFonts w:ascii="Book Antiqua" w:eastAsia="Times New Roman" w:hAnsi="Book Antiqua" w:cs="Times New Roman"/>
          <w:b/>
          <w:i/>
        </w:rPr>
        <w:t xml:space="preserve">Zhrnutie princípov </w:t>
      </w:r>
      <w:proofErr w:type="spellStart"/>
      <w:r w:rsidRPr="00057923">
        <w:rPr>
          <w:rFonts w:ascii="Book Antiqua" w:eastAsia="Times New Roman" w:hAnsi="Book Antiqua" w:cs="Times New Roman"/>
          <w:b/>
          <w:i/>
        </w:rPr>
        <w:t>Flexi</w:t>
      </w:r>
      <w:proofErr w:type="spellEnd"/>
      <w:r w:rsidRPr="00057923">
        <w:rPr>
          <w:rFonts w:ascii="Book Antiqua" w:eastAsia="Times New Roman" w:hAnsi="Book Antiqua" w:cs="Times New Roman"/>
          <w:b/>
          <w:i/>
        </w:rPr>
        <w:t>-rente – čiastočný dôchodok v Nemecku:</w:t>
      </w:r>
    </w:p>
    <w:p w:rsidR="00057923" w:rsidRPr="00057923" w:rsidRDefault="00057923" w:rsidP="00057923">
      <w:pPr>
        <w:numPr>
          <w:ilvl w:val="0"/>
          <w:numId w:val="24"/>
        </w:numPr>
        <w:spacing w:after="120" w:line="276" w:lineRule="auto"/>
        <w:ind w:left="714" w:hanging="357"/>
        <w:jc w:val="both"/>
        <w:rPr>
          <w:rFonts w:ascii="Book Antiqua" w:eastAsia="Times New Roman" w:hAnsi="Book Antiqua" w:cs="Times New Roman"/>
        </w:rPr>
      </w:pPr>
      <w:r w:rsidRPr="00057923">
        <w:rPr>
          <w:rFonts w:ascii="Book Antiqua" w:eastAsia="Times New Roman" w:hAnsi="Book Antiqua" w:cs="Times New Roman"/>
        </w:rPr>
        <w:t>určený pre osoby vo veku 63 až 67 rokov (v súčasnosti je zákonný dôchodkový vek v zásade 65 rokov a 6 mesiacov, pričom má byť predlžený na 67 rokov do roku 2029, preto sa uvádza rozpätie do 67 rokov, čo je považované za preddôchodkový vek);</w:t>
      </w:r>
    </w:p>
    <w:p w:rsidR="00057923" w:rsidRPr="00057923" w:rsidRDefault="00057923" w:rsidP="00057923">
      <w:pPr>
        <w:numPr>
          <w:ilvl w:val="0"/>
          <w:numId w:val="24"/>
        </w:numPr>
        <w:spacing w:after="120" w:line="276" w:lineRule="auto"/>
        <w:ind w:left="714" w:hanging="357"/>
        <w:jc w:val="both"/>
        <w:rPr>
          <w:rFonts w:ascii="Book Antiqua" w:eastAsia="Times New Roman" w:hAnsi="Book Antiqua" w:cs="Times New Roman"/>
        </w:rPr>
      </w:pPr>
      <w:r w:rsidRPr="00057923">
        <w:rPr>
          <w:rFonts w:ascii="Book Antiqua" w:eastAsia="Times New Roman" w:hAnsi="Book Antiqua" w:cs="Times New Roman"/>
        </w:rPr>
        <w:t>podmienka prechodu na čiastočný zárobok sa sleduje voči posledným 15 rokom, t. j. príjem z kratšieho pracovného úväzku sa porovnáva voči priemeru, čo osoba dosahovala v posledných 15 rokoch;</w:t>
      </w:r>
    </w:p>
    <w:p w:rsidR="00057923" w:rsidRPr="00057923" w:rsidRDefault="00057923" w:rsidP="00057923">
      <w:pPr>
        <w:numPr>
          <w:ilvl w:val="0"/>
          <w:numId w:val="24"/>
        </w:numPr>
        <w:spacing w:after="120" w:line="276" w:lineRule="auto"/>
        <w:ind w:left="714" w:hanging="357"/>
        <w:jc w:val="both"/>
        <w:rPr>
          <w:rFonts w:ascii="Book Antiqua" w:eastAsia="Times New Roman" w:hAnsi="Book Antiqua" w:cs="Times New Roman"/>
        </w:rPr>
      </w:pPr>
      <w:r w:rsidRPr="00057923">
        <w:rPr>
          <w:rFonts w:ascii="Book Antiqua" w:eastAsia="Times New Roman" w:hAnsi="Book Antiqua" w:cs="Times New Roman"/>
        </w:rPr>
        <w:t xml:space="preserve">dôchodkové nároky sa určujú k aktuálnemu dňu odchodu do čiastočného dôchodku znížené o 0,3% za každý mesiac skoršieho odchodu do dôchodku;  </w:t>
      </w:r>
    </w:p>
    <w:p w:rsidR="00057923" w:rsidRPr="00057923" w:rsidRDefault="00057923" w:rsidP="00057923">
      <w:pPr>
        <w:numPr>
          <w:ilvl w:val="0"/>
          <w:numId w:val="24"/>
        </w:numPr>
        <w:spacing w:after="120" w:line="276" w:lineRule="auto"/>
        <w:ind w:left="714" w:hanging="357"/>
        <w:jc w:val="both"/>
        <w:rPr>
          <w:rFonts w:ascii="Book Antiqua" w:eastAsia="Times New Roman" w:hAnsi="Book Antiqua" w:cs="Times New Roman"/>
        </w:rPr>
      </w:pPr>
      <w:r w:rsidRPr="00057923">
        <w:rPr>
          <w:rFonts w:ascii="Book Antiqua" w:eastAsia="Times New Roman" w:hAnsi="Book Antiqua" w:cs="Times New Roman"/>
        </w:rPr>
        <w:t xml:space="preserve">suma čiastočného dôchodku sa znižuje v závislosti od dosiahnutých zárobkov teda nie skokovo ako tomu bolo predtým (o tretinu, polovicu); </w:t>
      </w:r>
    </w:p>
    <w:p w:rsidR="00057923" w:rsidRPr="00057923" w:rsidRDefault="00057923" w:rsidP="00057923">
      <w:pPr>
        <w:numPr>
          <w:ilvl w:val="0"/>
          <w:numId w:val="24"/>
        </w:numPr>
        <w:spacing w:after="120" w:line="276" w:lineRule="auto"/>
        <w:ind w:left="714" w:hanging="357"/>
        <w:jc w:val="both"/>
        <w:rPr>
          <w:rFonts w:ascii="Book Antiqua" w:eastAsia="Times New Roman" w:hAnsi="Book Antiqua" w:cs="Times New Roman"/>
        </w:rPr>
      </w:pPr>
      <w:r w:rsidRPr="00057923">
        <w:rPr>
          <w:rFonts w:ascii="Book Antiqua" w:eastAsia="Times New Roman" w:hAnsi="Book Antiqua" w:cs="Times New Roman"/>
        </w:rPr>
        <w:t>po dovŕšení dôchodkového veku dostáva osoba plný PSD, avšak s použitím pôvodného krátenia PSD (0,3% za každý mesiac skoršieho odchodu);</w:t>
      </w:r>
    </w:p>
    <w:p w:rsidR="00057923" w:rsidRPr="00057923" w:rsidRDefault="00057923" w:rsidP="00057923">
      <w:pPr>
        <w:numPr>
          <w:ilvl w:val="0"/>
          <w:numId w:val="24"/>
        </w:numPr>
        <w:spacing w:after="0" w:line="276" w:lineRule="auto"/>
        <w:contextualSpacing/>
        <w:jc w:val="both"/>
        <w:rPr>
          <w:rFonts w:ascii="Book Antiqua" w:eastAsia="Times New Roman" w:hAnsi="Book Antiqua" w:cs="Times New Roman"/>
        </w:rPr>
      </w:pPr>
      <w:r w:rsidRPr="00057923">
        <w:rPr>
          <w:rFonts w:ascii="Book Antiqua" w:eastAsia="Times New Roman" w:hAnsi="Book Antiqua" w:cs="Times New Roman"/>
        </w:rPr>
        <w:t>na zafinancovanie si svojho čiastočného dôchodku je vytvorená pre osoby staršie ako 50 rokov možnosť zasielať si dodatočné platby poistného na sociálne poistenie.</w:t>
      </w: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lastRenderedPageBreak/>
        <w:t xml:space="preserve">3.3 Alternatíva k zavedeniu postupného odchodu do dôchodku. </w:t>
      </w:r>
    </w:p>
    <w:p w:rsidR="00057923" w:rsidRPr="00057923" w:rsidRDefault="00057923" w:rsidP="00057923">
      <w:pPr>
        <w:spacing w:after="200" w:line="276" w:lineRule="auto"/>
        <w:ind w:firstLine="708"/>
        <w:jc w:val="both"/>
        <w:rPr>
          <w:rFonts w:ascii="Book Antiqua" w:eastAsia="Times New Roman" w:hAnsi="Book Antiqua" w:cs="Times New Roman"/>
          <w:i/>
        </w:rPr>
      </w:pPr>
      <w:r w:rsidRPr="00057923">
        <w:rPr>
          <w:rFonts w:ascii="Book Antiqua" w:eastAsia="Times New Roman" w:hAnsi="Book Antiqua" w:cs="Times New Roman"/>
          <w:i/>
        </w:rPr>
        <w:t xml:space="preserve">V tejto podkapitole sa budeme venovať ďalším možnostiam postupného odchodu do dôchodku. Postupný odchod do dôchodku by súvisel predovšetkým s prechodom z plného pracovného pomeru na čiastočný pracovný pomer v kombinácii s poberaním dávky dôchodkového poistenia. </w:t>
      </w:r>
    </w:p>
    <w:p w:rsidR="00057923" w:rsidRPr="00057923" w:rsidRDefault="00057923" w:rsidP="00057923">
      <w:pPr>
        <w:spacing w:after="0" w:line="276" w:lineRule="auto"/>
        <w:jc w:val="both"/>
        <w:rPr>
          <w:rFonts w:ascii="Book Antiqua" w:eastAsia="Times New Roman" w:hAnsi="Book Antiqua" w:cs="Times New Roman"/>
          <w:b/>
          <w:i/>
        </w:rPr>
      </w:pPr>
      <w:proofErr w:type="spellStart"/>
      <w:r w:rsidRPr="00057923">
        <w:rPr>
          <w:rFonts w:ascii="Book Antiqua" w:eastAsia="Times New Roman" w:hAnsi="Book Antiqua" w:cs="Times New Roman"/>
          <w:b/>
          <w:i/>
        </w:rPr>
        <w:t>Aktuárne</w:t>
      </w:r>
      <w:proofErr w:type="spellEnd"/>
      <w:r w:rsidRPr="00057923">
        <w:rPr>
          <w:rFonts w:ascii="Book Antiqua" w:eastAsia="Times New Roman" w:hAnsi="Book Antiqua" w:cs="Times New Roman"/>
          <w:b/>
          <w:i/>
        </w:rPr>
        <w:t xml:space="preserve"> správne krátený PSD pri prechode na čiastočný pracovný pomer a dosiahnutí určitého veku (popis, nastavenie, limity a úzke miesta)</w:t>
      </w:r>
    </w:p>
    <w:p w:rsidR="00057923" w:rsidRPr="00057923" w:rsidRDefault="00057923" w:rsidP="00057923">
      <w:pPr>
        <w:spacing w:after="0" w:line="276" w:lineRule="auto"/>
        <w:jc w:val="both"/>
        <w:rPr>
          <w:rFonts w:ascii="Book Antiqua" w:eastAsia="Times New Roman" w:hAnsi="Book Antiqua" w:cs="Times New Roman"/>
        </w:rPr>
      </w:pP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Ako hovorí samotný nadpis táto alternatíva predstavuje možnosť postupného odchodu do dôchodku v kombinácii s výkonom zárobkovej činnosti na čiastočný pracovný pomer. Podmienkou takejto možnosti skĺbenia pracovného pomeru s poberaním dôchodkovej dávky by bolo </w:t>
      </w:r>
      <w:r w:rsidRPr="00057923">
        <w:rPr>
          <w:rFonts w:ascii="Book Antiqua" w:eastAsia="Times New Roman" w:hAnsi="Book Antiqua" w:cs="Times New Roman"/>
          <w:b/>
        </w:rPr>
        <w:t>získanie dostatočného obdobia dôchodkového poistenia a splnenie vekovej podmienky.</w:t>
      </w:r>
      <w:r w:rsidRPr="00057923">
        <w:rPr>
          <w:rFonts w:ascii="Book Antiqua" w:eastAsia="Times New Roman" w:hAnsi="Book Antiqua" w:cs="Times New Roman"/>
        </w:rPr>
        <w:t xml:space="preserve">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Poistenec by teda v období DV-T, kde DV je dôchodkový vek a T – časový úsek, platil plné odvody do Sociálnej poisťovne, čím by sa mu samozrejme každoročne prehodnocovali dôchodkové nároky (v súčasnosti ½ OMB * ADH). Dôchodková dávka u tohto poistenca by bola krátená počas celej doby poberania dôchodku. Ak by mala byť dôchodková dávka krátená len do dovŕšenia dôchodkového veku, bol by takýto prístup v rozpore s princípmi poistnej matematiky a dochádzalo by k zvýhodňovaniu týchto osôb v porovnaní s osobami, ktoré by odchádzali do dôchodku až po splnení vekovej podmienky.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Možnosťou na návrat k plnej sume dôchodku by bolo radikálne krátenie dôchodku napríklad </w:t>
      </w:r>
      <w:r w:rsidRPr="00057923">
        <w:rPr>
          <w:rFonts w:ascii="Book Antiqua" w:eastAsia="Times New Roman" w:hAnsi="Book Antiqua" w:cs="Times New Roman"/>
          <w:b/>
        </w:rPr>
        <w:t xml:space="preserve">v sume jednej polovice alebo </w:t>
      </w:r>
      <w:proofErr w:type="spellStart"/>
      <w:r w:rsidRPr="00057923">
        <w:rPr>
          <w:rFonts w:ascii="Book Antiqua" w:eastAsia="Times New Roman" w:hAnsi="Book Antiqua" w:cs="Times New Roman"/>
          <w:b/>
        </w:rPr>
        <w:t>vyklesávanie</w:t>
      </w:r>
      <w:proofErr w:type="spellEnd"/>
      <w:r w:rsidRPr="00057923">
        <w:rPr>
          <w:rFonts w:ascii="Book Antiqua" w:eastAsia="Times New Roman" w:hAnsi="Book Antiqua" w:cs="Times New Roman"/>
          <w:b/>
        </w:rPr>
        <w:t xml:space="preserve"> čiastočného dôchodku v závislosti od príjmu na základe skúseností Nemecka</w:t>
      </w:r>
      <w:r w:rsidRPr="00057923">
        <w:rPr>
          <w:rFonts w:ascii="Book Antiqua" w:eastAsia="Times New Roman" w:hAnsi="Book Antiqua" w:cs="Times New Roman"/>
        </w:rPr>
        <w:t xml:space="preserve">, ktoré by muselo trvať aj po dovŕšení dôchodkového veku. Napríklad v prípade poistenca, ktorý odišiel do dôchodku vo veku DV-T by to znamenalo, že v čase DV-T až DV+T by tento poistenec poberal dôchodkovú dávku v sume jednej polovice a následne v čase DV+T by prešiel opätovne na plnú sumu dôchodku. Takýmto spôsobom by mal poistenec počas </w:t>
      </w:r>
      <w:r w:rsidRPr="00057923">
        <w:rPr>
          <w:rFonts w:ascii="Book Antiqua" w:eastAsia="Times New Roman" w:hAnsi="Book Antiqua" w:cs="Times New Roman"/>
          <w:b/>
        </w:rPr>
        <w:t>pracovného pomeru na kratší úväzok výpadok príjmu kompenzovaný poberaním dávky dôchodkového poistenia a v čase ukončenia pracovného pomeru by poistenec prešiel na plnú sumu dôchodku</w:t>
      </w:r>
      <w:r w:rsidRPr="00057923">
        <w:rPr>
          <w:rFonts w:ascii="Book Antiqua" w:eastAsia="Times New Roman" w:hAnsi="Book Antiqua" w:cs="Times New Roman"/>
        </w:rPr>
        <w:t xml:space="preserve">. Uvedený scenár je prípustný len za podmienky, že pracovný pomer bude trvať aj po splnení vekovej podmienky aspoň v rovnakej dĺžke ako skorší odchod  do dôchodku, t. j. po dobu T.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Model popísaný vyššie je podobný so súčasným modelom predčasného starobného dôchodku s tým rozdielom, že súčasní poberatelia predčasného starobného dôchodku až na </w:t>
      </w:r>
      <w:proofErr w:type="spellStart"/>
      <w:r w:rsidRPr="00057923">
        <w:rPr>
          <w:rFonts w:ascii="Book Antiqua" w:eastAsia="Times New Roman" w:hAnsi="Book Antiqua" w:cs="Times New Roman"/>
        </w:rPr>
        <w:t>dohodárov</w:t>
      </w:r>
      <w:proofErr w:type="spellEnd"/>
      <w:r w:rsidRPr="00057923">
        <w:rPr>
          <w:rFonts w:ascii="Book Antiqua" w:eastAsia="Times New Roman" w:hAnsi="Book Antiqua" w:cs="Times New Roman"/>
        </w:rPr>
        <w:t xml:space="preserve">, nemôžu/nebudú môcť poberať predčasný starobný dôchodok a zároveň vykonávať zárobkovú činnosť. V tomto ohľade sa preto navrhovaný model postupného odchodu do dôchodku javí benevolentnejší. Zo skúseností, ktoré máme z minulosti vieme, že akékoľvek zjemňovanie podmienok poberania predčasného starobného dôchodku bude viesť k zvýšenému počtu osôb poberateľov predčasného starobného dôchodku, čo znamená okamžité zvýšenie výdavkov Sociálnej poisťovne.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lastRenderedPageBreak/>
        <w:t>Samotný Zákonník práce</w:t>
      </w:r>
      <w:r w:rsidRPr="00057923">
        <w:rPr>
          <w:rFonts w:ascii="Book Antiqua" w:eastAsia="Times New Roman" w:hAnsi="Book Antiqua" w:cs="Times New Roman"/>
          <w:vertAlign w:val="superscript"/>
        </w:rPr>
        <w:footnoteReference w:id="13"/>
      </w:r>
      <w:r w:rsidRPr="00057923">
        <w:rPr>
          <w:rFonts w:ascii="Book Antiqua" w:eastAsia="Times New Roman" w:hAnsi="Book Antiqua" w:cs="Times New Roman"/>
        </w:rPr>
        <w:t xml:space="preserve"> na základe § 49 umožňuje zamestnávateľovi so zamestnancom dohodnúť </w:t>
      </w:r>
      <w:r w:rsidRPr="00057923">
        <w:rPr>
          <w:rFonts w:ascii="Book Antiqua" w:eastAsia="Times New Roman" w:hAnsi="Book Antiqua" w:cs="Times New Roman"/>
          <w:b/>
        </w:rPr>
        <w:t>kratší pracovný čas ako je týždenný pracovný čas</w:t>
      </w:r>
      <w:r w:rsidRPr="00057923">
        <w:rPr>
          <w:rFonts w:ascii="Book Antiqua" w:eastAsia="Times New Roman" w:hAnsi="Book Antiqua" w:cs="Times New Roman"/>
        </w:rPr>
        <w:t xml:space="preserve">. Rovnako existuje možnosť dohodnúť so zamestnancom zmenu v pracovnej zmluve z týždenného pracovného času na kratší pracovný čas. Zákonník práce nedefinuje koľko hodín musí zamestnanec odpracovať  na kratší pracovný čas iba všeobecne konštatuje, že to </w:t>
      </w:r>
      <w:r w:rsidRPr="00057923">
        <w:rPr>
          <w:rFonts w:ascii="Book Antiqua" w:eastAsia="Times New Roman" w:hAnsi="Book Antiqua" w:cs="Times New Roman"/>
          <w:b/>
        </w:rPr>
        <w:t>má byť menej ako týždenný pracovný čas, t. j. v zásade 40 hodín týždenne</w:t>
      </w:r>
      <w:r w:rsidRPr="00057923">
        <w:rPr>
          <w:rFonts w:ascii="Book Antiqua" w:eastAsia="Times New Roman" w:hAnsi="Book Antiqua" w:cs="Times New Roman"/>
        </w:rPr>
        <w:t xml:space="preserve">, v dvojzmennej prevádzke 38 a ¾ hodiny týždenne a v trojzmennej alebo nepretržitej 37 a1/2 hodiny (viď § 89 Zákonníka práce). Uvedené skôr nahráva </w:t>
      </w:r>
      <w:r w:rsidRPr="00057923">
        <w:rPr>
          <w:rFonts w:ascii="Book Antiqua" w:eastAsia="Times New Roman" w:hAnsi="Book Antiqua" w:cs="Times New Roman"/>
          <w:b/>
        </w:rPr>
        <w:t>„umelému - špekulatívnemu“ prechodu na kratší pracovný pomer iba s administratívnym znížením hodín (o 1 alebo 2 hodiny) so snahou získania dodatočného príjmu v podobe kráteného dôchodku</w:t>
      </w:r>
      <w:r w:rsidRPr="00057923">
        <w:rPr>
          <w:rFonts w:ascii="Book Antiqua" w:eastAsia="Times New Roman" w:hAnsi="Book Antiqua" w:cs="Times New Roman"/>
        </w:rPr>
        <w:t xml:space="preserve">. Taktiež si treba uvedomiť, že by bolo potrebné vysporiadať sa </w:t>
      </w:r>
      <w:r w:rsidRPr="00057923">
        <w:rPr>
          <w:rFonts w:ascii="Book Antiqua" w:eastAsia="Times New Roman" w:hAnsi="Book Antiqua" w:cs="Times New Roman"/>
          <w:b/>
        </w:rPr>
        <w:t>s ostatnými flexibilnými formami práce (napr. domácka práca a </w:t>
      </w:r>
      <w:proofErr w:type="spellStart"/>
      <w:r w:rsidRPr="00057923">
        <w:rPr>
          <w:rFonts w:ascii="Book Antiqua" w:eastAsia="Times New Roman" w:hAnsi="Book Antiqua" w:cs="Times New Roman"/>
          <w:b/>
        </w:rPr>
        <w:t>telepráca</w:t>
      </w:r>
      <w:proofErr w:type="spellEnd"/>
      <w:r w:rsidRPr="00057923">
        <w:rPr>
          <w:rFonts w:ascii="Book Antiqua" w:eastAsia="Times New Roman" w:hAnsi="Book Antiqua" w:cs="Times New Roman"/>
          <w:b/>
        </w:rPr>
        <w:t>)</w:t>
      </w:r>
      <w:r w:rsidRPr="00057923">
        <w:rPr>
          <w:rFonts w:ascii="Book Antiqua" w:eastAsia="Times New Roman" w:hAnsi="Book Antiqua" w:cs="Times New Roman"/>
        </w:rPr>
        <w:t xml:space="preserve">, či je možné aj tieto formy pracovnoprávneho pomeru za istých okolností považovať za „kratší pracovný úväzok“. Špecifická nevýhoda tohto prístupu vyplýva z previazania zákona o sociálnom poistení so Zákonníkom práce, t. j. oba zákony </w:t>
      </w:r>
      <w:r w:rsidRPr="00057923">
        <w:rPr>
          <w:rFonts w:ascii="Book Antiqua" w:eastAsia="Times New Roman" w:hAnsi="Book Antiqua" w:cs="Times New Roman"/>
          <w:b/>
        </w:rPr>
        <w:t xml:space="preserve">by boli vo vzájomnej interakcii až </w:t>
      </w:r>
      <w:proofErr w:type="spellStart"/>
      <w:r w:rsidRPr="00057923">
        <w:rPr>
          <w:rFonts w:ascii="Book Antiqua" w:eastAsia="Times New Roman" w:hAnsi="Book Antiqua" w:cs="Times New Roman"/>
          <w:b/>
        </w:rPr>
        <w:t>zacyklení</w:t>
      </w:r>
      <w:proofErr w:type="spellEnd"/>
      <w:r w:rsidRPr="00057923">
        <w:rPr>
          <w:rFonts w:ascii="Book Antiqua" w:eastAsia="Times New Roman" w:hAnsi="Book Antiqua" w:cs="Times New Roman"/>
        </w:rPr>
        <w:t xml:space="preserve"> (zmena jedného z nich by mohla vyvolať potrebné zmeny aj v druhom predpise).     </w:t>
      </w:r>
    </w:p>
    <w:p w:rsidR="00057923" w:rsidRPr="00057923" w:rsidRDefault="00057923" w:rsidP="00057923">
      <w:pPr>
        <w:spacing w:after="200" w:line="276" w:lineRule="auto"/>
        <w:ind w:firstLine="708"/>
        <w:jc w:val="both"/>
        <w:rPr>
          <w:rFonts w:ascii="Book Antiqua" w:eastAsia="Times New Roman" w:hAnsi="Book Antiqua" w:cs="Times New Roman"/>
          <w:b/>
          <w:i/>
        </w:rPr>
      </w:pPr>
      <w:r w:rsidRPr="00057923">
        <w:rPr>
          <w:rFonts w:ascii="Book Antiqua" w:eastAsia="Times New Roman" w:hAnsi="Book Antiqua" w:cs="Times New Roman"/>
          <w:b/>
          <w:i/>
        </w:rPr>
        <w:t>V súvislosti s prechodom je vhodné sa zamyslieť aj nad prístupom Nemecka, ktoré posudzuje nový „</w:t>
      </w:r>
      <w:proofErr w:type="spellStart"/>
      <w:r w:rsidRPr="00057923">
        <w:rPr>
          <w:rFonts w:ascii="Book Antiqua" w:eastAsia="Times New Roman" w:hAnsi="Book Antiqua" w:cs="Times New Roman"/>
          <w:b/>
          <w:i/>
        </w:rPr>
        <w:t>čiatočný</w:t>
      </w:r>
      <w:proofErr w:type="spellEnd"/>
      <w:r w:rsidRPr="00057923">
        <w:rPr>
          <w:rFonts w:ascii="Book Antiqua" w:eastAsia="Times New Roman" w:hAnsi="Book Antiqua" w:cs="Times New Roman"/>
          <w:b/>
          <w:i/>
        </w:rPr>
        <w:t xml:space="preserve">“ príjem voči priemernému príjmu, ktorý osoba zarábala za posledných 15 rokov.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Pri takomto mechanizme skoršieho odchodu do dôchodku sa vynára viacero ďalších otázok, ktoré by bolo nevyhnutné vyriešiť ako napríklad: </w:t>
      </w:r>
      <w:r w:rsidRPr="00057923">
        <w:rPr>
          <w:rFonts w:ascii="Book Antiqua" w:eastAsia="Times New Roman" w:hAnsi="Book Antiqua" w:cs="Times New Roman"/>
          <w:b/>
        </w:rPr>
        <w:t>valorizácia novovzniknutých dôchodkových dávok</w:t>
      </w:r>
      <w:r w:rsidRPr="00057923">
        <w:rPr>
          <w:rFonts w:ascii="Book Antiqua" w:eastAsia="Times New Roman" w:hAnsi="Book Antiqua" w:cs="Times New Roman"/>
          <w:b/>
          <w:i/>
        </w:rPr>
        <w:t xml:space="preserve">, </w:t>
      </w:r>
      <w:r w:rsidRPr="00057923">
        <w:rPr>
          <w:rFonts w:ascii="Book Antiqua" w:eastAsia="Times New Roman" w:hAnsi="Book Antiqua" w:cs="Times New Roman"/>
          <w:b/>
        </w:rPr>
        <w:t>flexibilita verzus fluktuácia medzi plným a čiastočným pracovným pomerom</w:t>
      </w:r>
      <w:r w:rsidRPr="00057923">
        <w:rPr>
          <w:rFonts w:ascii="Book Antiqua" w:eastAsia="Times New Roman" w:hAnsi="Book Antiqua" w:cs="Times New Roman"/>
          <w:b/>
          <w:i/>
        </w:rPr>
        <w:t xml:space="preserve"> </w:t>
      </w:r>
      <w:r w:rsidRPr="00057923">
        <w:rPr>
          <w:rFonts w:ascii="Book Antiqua" w:eastAsia="Times New Roman" w:hAnsi="Book Antiqua" w:cs="Times New Roman"/>
        </w:rPr>
        <w:t>(vznik motivácie k prechodu na čiastočný pracovný pomer)</w:t>
      </w:r>
      <w:r w:rsidRPr="00057923">
        <w:rPr>
          <w:rFonts w:ascii="Book Antiqua" w:eastAsia="Times New Roman" w:hAnsi="Book Antiqua" w:cs="Times New Roman"/>
          <w:b/>
          <w:i/>
        </w:rPr>
        <w:t xml:space="preserve">, </w:t>
      </w:r>
      <w:r w:rsidRPr="00057923">
        <w:rPr>
          <w:rFonts w:ascii="Book Antiqua" w:eastAsia="Times New Roman" w:hAnsi="Book Antiqua" w:cs="Times New Roman"/>
          <w:b/>
        </w:rPr>
        <w:t>zvýšená administratíva pri dokladovaní pracovného úväzku</w:t>
      </w:r>
      <w:r w:rsidRPr="00057923">
        <w:rPr>
          <w:rFonts w:ascii="Book Antiqua" w:eastAsia="Times New Roman" w:hAnsi="Book Antiqua" w:cs="Times New Roman"/>
        </w:rPr>
        <w:t xml:space="preserve"> (Sociálna poisťovňa v súčasnosti nedisponuje údajom o poistencovom uzavretom pracovnom úväzku), </w:t>
      </w:r>
      <w:r w:rsidRPr="00057923">
        <w:rPr>
          <w:rFonts w:ascii="Book Antiqua" w:eastAsia="Times New Roman" w:hAnsi="Book Antiqua" w:cs="Times New Roman"/>
          <w:b/>
        </w:rPr>
        <w:t xml:space="preserve">čiastočná strata </w:t>
      </w:r>
      <w:proofErr w:type="spellStart"/>
      <w:r w:rsidRPr="00057923">
        <w:rPr>
          <w:rFonts w:ascii="Book Antiqua" w:eastAsia="Times New Roman" w:hAnsi="Book Antiqua" w:cs="Times New Roman"/>
          <w:b/>
        </w:rPr>
        <w:t>univerzality</w:t>
      </w:r>
      <w:proofErr w:type="spellEnd"/>
      <w:r w:rsidRPr="00057923">
        <w:rPr>
          <w:rFonts w:ascii="Book Antiqua" w:eastAsia="Times New Roman" w:hAnsi="Book Antiqua" w:cs="Times New Roman"/>
          <w:b/>
        </w:rPr>
        <w:t xml:space="preserve"> všeobecnej dôchodkovej schémy</w:t>
      </w:r>
      <w:r w:rsidRPr="00057923">
        <w:rPr>
          <w:rFonts w:ascii="Book Antiqua" w:eastAsia="Times New Roman" w:hAnsi="Book Antiqua" w:cs="Times New Roman"/>
        </w:rPr>
        <w:t xml:space="preserve"> (nevzťahovalo by sa na </w:t>
      </w:r>
      <w:proofErr w:type="spellStart"/>
      <w:r w:rsidRPr="00057923">
        <w:rPr>
          <w:rFonts w:ascii="Book Antiqua" w:eastAsia="Times New Roman" w:hAnsi="Book Antiqua" w:cs="Times New Roman"/>
        </w:rPr>
        <w:t>dohodárov</w:t>
      </w:r>
      <w:proofErr w:type="spellEnd"/>
      <w:r w:rsidRPr="00057923">
        <w:rPr>
          <w:rFonts w:ascii="Book Antiqua" w:eastAsia="Times New Roman" w:hAnsi="Book Antiqua" w:cs="Times New Roman"/>
        </w:rPr>
        <w:t xml:space="preserve"> a SZČO) a </w:t>
      </w:r>
      <w:r w:rsidRPr="00057923">
        <w:rPr>
          <w:rFonts w:ascii="Book Antiqua" w:eastAsia="Times New Roman" w:hAnsi="Book Antiqua" w:cs="Times New Roman"/>
          <w:b/>
        </w:rPr>
        <w:t xml:space="preserve">väzby na iné dávky sociálneho poistenia najmä dávku v nezamestnanosti </w:t>
      </w:r>
      <w:r w:rsidRPr="00057923">
        <w:rPr>
          <w:rFonts w:ascii="Book Antiqua" w:eastAsia="Times New Roman" w:hAnsi="Book Antiqua" w:cs="Times New Roman"/>
        </w:rPr>
        <w:t>(možnosť kombinovania kráteného/čiastočného dôchodku s nemocenskými dávkami a dávkou  v nezamestnanosti)</w:t>
      </w:r>
      <w:r w:rsidRPr="00057923">
        <w:rPr>
          <w:rFonts w:ascii="Book Antiqua" w:eastAsia="Times New Roman" w:hAnsi="Book Antiqua" w:cs="Times New Roman"/>
          <w:b/>
          <w:i/>
        </w:rPr>
        <w:t xml:space="preserve">. </w:t>
      </w:r>
      <w:r w:rsidRPr="00057923">
        <w:rPr>
          <w:rFonts w:ascii="Book Antiqua" w:eastAsia="Times New Roman" w:hAnsi="Book Antiqua" w:cs="Times New Roman"/>
        </w:rPr>
        <w:t xml:space="preserve">Špecifickou oblasťou je </w:t>
      </w:r>
      <w:r w:rsidRPr="00057923">
        <w:rPr>
          <w:rFonts w:ascii="Book Antiqua" w:eastAsia="Times New Roman" w:hAnsi="Book Antiqua" w:cs="Times New Roman"/>
          <w:b/>
        </w:rPr>
        <w:t xml:space="preserve">tzv. </w:t>
      </w:r>
      <w:proofErr w:type="spellStart"/>
      <w:r w:rsidRPr="00057923">
        <w:rPr>
          <w:rFonts w:ascii="Book Antiqua" w:eastAsia="Times New Roman" w:hAnsi="Book Antiqua" w:cs="Times New Roman"/>
          <w:b/>
        </w:rPr>
        <w:t>demotivácia</w:t>
      </w:r>
      <w:proofErr w:type="spellEnd"/>
      <w:r w:rsidRPr="00057923">
        <w:rPr>
          <w:rFonts w:ascii="Book Antiqua" w:eastAsia="Times New Roman" w:hAnsi="Book Antiqua" w:cs="Times New Roman"/>
          <w:b/>
        </w:rPr>
        <w:t xml:space="preserve"> k plateniu poistného</w:t>
      </w:r>
      <w:r w:rsidRPr="00057923">
        <w:rPr>
          <w:rFonts w:ascii="Book Antiqua" w:eastAsia="Times New Roman" w:hAnsi="Book Antiqua" w:cs="Times New Roman"/>
        </w:rPr>
        <w:t xml:space="preserve">, t. j. k umelému vykazovaniu kratších pracovných pomerov a nižších vymeriavacích základov na platenie poistného.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V prípade valorizácie takto stanovených dôchodkových dávok predovšetkým v obdobiach, kedy sa dôchodkové dávky valorizujú pevnou sumou, by sa musel pravdepodobne stanoviť nový druh dôchodkovej dávky, od ktorej by sa vyvíjala minimálna pevná suma zvýšenia dôchodku.</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V súvislosti s dôchodkovými dávkami by bolo nevyhnutné sa zaoberať špecifickým režimom pre dôchodkovú dávku z II. piliera (opätovné vymeranie anuity po skončení obdobia DV + T  môže byť problematické a ani v súčasnosti nie je poisťovňami, ktoré ponúkajú dôchodok z II. piliera realizované</w:t>
      </w:r>
      <w:r w:rsidRPr="00057923">
        <w:rPr>
          <w:rFonts w:ascii="Book Antiqua" w:eastAsia="Times New Roman" w:hAnsi="Book Antiqua" w:cs="Times New Roman"/>
          <w:vertAlign w:val="superscript"/>
        </w:rPr>
        <w:footnoteReference w:id="14"/>
      </w:r>
      <w:r w:rsidRPr="00057923">
        <w:rPr>
          <w:rFonts w:ascii="Book Antiqua" w:eastAsia="Times New Roman" w:hAnsi="Book Antiqua" w:cs="Times New Roman"/>
        </w:rPr>
        <w:t xml:space="preserve">).  Bolo by nevyhnutné v prípade II. piliera určiť, kedy by </w:t>
      </w:r>
      <w:r w:rsidRPr="00057923">
        <w:rPr>
          <w:rFonts w:ascii="Book Antiqua" w:eastAsia="Times New Roman" w:hAnsi="Book Antiqua" w:cs="Times New Roman"/>
        </w:rPr>
        <w:lastRenderedPageBreak/>
        <w:t xml:space="preserve">mohol sporiteľ začať poberať v takomto režime postupného odchodu do dôchodku taktiež dôchodok z II. piliera, avšak v plnej výške - v prípade dôchodkov z II. piliera by teda nebolo umožnené poberať nižší dôchodok z tohto systému do času DV + T, ktorý by mu bol následne zvýšený. Jednou z možností je povoliť sporiteľom začať poberať dôchodok z II. piliera už v čase DV – T, keďže by bol tento dôchodok poberaný iba v sume jednej polovice sumy PSD nemusíme sa obávať, že by značná časť sporiteľov splnilo podmienky výplaty dôchodku vo forme programového výberu alebo dočasného dôchodku a mohla by si tak jednorazovo vybrať nasporenú sumu skôr ako dovŕši vek DV + T.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V značnej miere je možné predpokladať, že </w:t>
      </w:r>
      <w:r w:rsidRPr="00057923">
        <w:rPr>
          <w:rFonts w:ascii="Book Antiqua" w:eastAsia="Times New Roman" w:hAnsi="Book Antiqua" w:cs="Times New Roman"/>
          <w:b/>
        </w:rPr>
        <w:t>kontrola pracovného úväzku pri takomto nastavení by bola veľmi komplikovaná</w:t>
      </w:r>
      <w:r w:rsidRPr="00057923">
        <w:rPr>
          <w:rFonts w:ascii="Book Antiqua" w:eastAsia="Times New Roman" w:hAnsi="Book Antiqua" w:cs="Times New Roman"/>
        </w:rPr>
        <w:t xml:space="preserve"> a to najmä u osôb pracujúcich na dohodu a samostatne zárobkovo činných osobách. Z tohto dôvodu by sa </w:t>
      </w:r>
      <w:r w:rsidRPr="00057923">
        <w:rPr>
          <w:rFonts w:ascii="Book Antiqua" w:eastAsia="Times New Roman" w:hAnsi="Book Antiqua" w:cs="Times New Roman"/>
          <w:b/>
        </w:rPr>
        <w:t>tieto osoby pravdepodobne vylúčili z možnosti poberania takejto dávky.</w:t>
      </w:r>
      <w:r w:rsidRPr="00057923">
        <w:rPr>
          <w:rFonts w:ascii="Book Antiqua" w:eastAsia="Times New Roman" w:hAnsi="Book Antiqua" w:cs="Times New Roman"/>
        </w:rPr>
        <w:t xml:space="preserve"> Samozrejme v situácii, kedy by </w:t>
      </w:r>
      <w:proofErr w:type="spellStart"/>
      <w:r w:rsidRPr="00057923">
        <w:rPr>
          <w:rFonts w:ascii="Book Antiqua" w:eastAsia="Times New Roman" w:hAnsi="Book Antiqua" w:cs="Times New Roman"/>
        </w:rPr>
        <w:t>dohodár</w:t>
      </w:r>
      <w:proofErr w:type="spellEnd"/>
      <w:r w:rsidRPr="00057923">
        <w:rPr>
          <w:rFonts w:ascii="Book Antiqua" w:eastAsia="Times New Roman" w:hAnsi="Book Antiqua" w:cs="Times New Roman"/>
        </w:rPr>
        <w:t xml:space="preserve"> alebo samostatne zárobkovo činná osoba prešla na pracovnoprávny  pomer resp. čiastočný pracovnoprávny pomer, mohla by táto osoba poberať dôchodkovú dávku popri výkone zárobkovej činnosti. Samotnú kontrolu by mohli sťažiť aj domáca práca a </w:t>
      </w:r>
      <w:proofErr w:type="spellStart"/>
      <w:r w:rsidRPr="00057923">
        <w:rPr>
          <w:rFonts w:ascii="Book Antiqua" w:eastAsia="Times New Roman" w:hAnsi="Book Antiqua" w:cs="Times New Roman"/>
        </w:rPr>
        <w:t>telepráca</w:t>
      </w:r>
      <w:proofErr w:type="spellEnd"/>
      <w:r w:rsidRPr="00057923">
        <w:rPr>
          <w:rFonts w:ascii="Book Antiqua" w:eastAsia="Times New Roman" w:hAnsi="Book Antiqua" w:cs="Times New Roman"/>
        </w:rPr>
        <w:t xml:space="preserve">.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Najdôležitejšie z pohľadu nastavenia sú podmienky, ktoré osoba musí splniť, aby jej vznikol nárok na takýto typ postupného odchodu do dôchodku. V texte vyššie sme uviedli, že podmienky by sa odvíjali od obdobia dôchodkového poistenia, ktoré poistenec získal a od jeho veku. Podmienku veku je možné dosiahnuť pomerne jednoducho, ale pri podmienke na obdobie dôchodkového poistenie je možné polemizovať, či sa majú zohľadňovať všetky obdobia dôchodkového poistenia alebo len niektoré (napr. za výkon zárobkovej činnosti).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Jedným z možných scenárov by bol scenár s minimálnym obdobím dôchodkového poistenia vo výške 42 rokov a skorší odchod by bol možný len pre osoby iba dva roky pred dovŕšením dôchodkového veku (ďalej len DV), t. j. vo vekovom intervale &lt;DV– 2; DV), kde DV je všeobecný dôchodkový vek. Dôchodková dávka by bola krátená v sume jednej polovice počas celého obdobia DV-T až DV+T alebo individuálne podľa príkladu z Nemecka. </w:t>
      </w: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Kvantifikácia finančných dopadov nebola v súčasnosti zrealizovaná, nakoľko samotný finančný vplyv vo veľkej miere závisí od podrobnejšieho legislatívneho nastavenia, ktoré by bolo potrebné vzhľadom na vyššie uvedené komplikácie spresniť. Celkový finančný dopad bude rovnako v značnej miere závisieť od preferencií osôb v preddôchodkovom veku, t. j. či tieto osoby budú alebo nebudú využívať takúto formu odchodu z trhu práce.</w:t>
      </w:r>
    </w:p>
    <w:p w:rsidR="00057923" w:rsidRPr="00057923" w:rsidRDefault="00057923" w:rsidP="00057923">
      <w:pPr>
        <w:spacing w:after="120" w:line="276" w:lineRule="auto"/>
        <w:jc w:val="both"/>
        <w:rPr>
          <w:rFonts w:ascii="Book Antiqua" w:eastAsia="Times New Roman" w:hAnsi="Book Antiqua" w:cs="Times New Roman"/>
        </w:rPr>
      </w:pPr>
    </w:p>
    <w:p w:rsidR="00057923" w:rsidRPr="00057923" w:rsidRDefault="00057923" w:rsidP="00057923">
      <w:pPr>
        <w:spacing w:after="120" w:line="276" w:lineRule="auto"/>
        <w:jc w:val="both"/>
        <w:rPr>
          <w:rFonts w:ascii="Book Antiqua" w:eastAsia="Times New Roman" w:hAnsi="Book Antiqua" w:cs="Times New Roman"/>
          <w:b/>
          <w:i/>
        </w:rPr>
      </w:pPr>
      <w:r w:rsidRPr="00057923">
        <w:rPr>
          <w:rFonts w:ascii="Book Antiqua" w:eastAsia="Times New Roman" w:hAnsi="Book Antiqua" w:cs="Times New Roman"/>
          <w:b/>
          <w:i/>
        </w:rPr>
        <w:t>3.4 Záver ku kapitole 3</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Problematika skoršieho odchodu do dôchodku bola výrazne ovplyvnená zmenami pre poberateľov predčasného starobného dôchodku – zavedenie možnosti výkonu zárobkovej činnosti na dohodu do mesačného limitu 200 eur, ktoré sú účinné od 1. júla 2018. Rovnako túto tému ovplyvňujú aj zámery na vznik </w:t>
      </w:r>
      <w:proofErr w:type="spellStart"/>
      <w:r w:rsidRPr="00057923">
        <w:rPr>
          <w:rFonts w:ascii="Book Antiqua" w:eastAsia="Times New Roman" w:hAnsi="Book Antiqua" w:cs="Times New Roman"/>
        </w:rPr>
        <w:t>preddôchodku</w:t>
      </w:r>
      <w:proofErr w:type="spellEnd"/>
      <w:r w:rsidRPr="00057923">
        <w:rPr>
          <w:rFonts w:ascii="Book Antiqua" w:eastAsia="Times New Roman" w:hAnsi="Book Antiqua" w:cs="Times New Roman"/>
        </w:rPr>
        <w:t xml:space="preserve"> ako dávky z doplnkového </w:t>
      </w:r>
      <w:proofErr w:type="spellStart"/>
      <w:r w:rsidRPr="00057923">
        <w:rPr>
          <w:rFonts w:ascii="Book Antiqua" w:eastAsia="Times New Roman" w:hAnsi="Book Antiqua" w:cs="Times New Roman"/>
        </w:rPr>
        <w:lastRenderedPageBreak/>
        <w:t>dôchodokového</w:t>
      </w:r>
      <w:proofErr w:type="spellEnd"/>
      <w:r w:rsidRPr="00057923">
        <w:rPr>
          <w:rFonts w:ascii="Book Antiqua" w:eastAsia="Times New Roman" w:hAnsi="Book Antiqua" w:cs="Times New Roman"/>
        </w:rPr>
        <w:t xml:space="preserve"> sporenia a uzákonenie stropu dôchodkového veku s dodatočnou preferenciou pre osoby, ktoré vychovali deti.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Je možné nájsť určitú inšpiráciu v príklade z Nemecka, pričom ako najdôležitejšie pri nastavovaní čiastočného dôchodku sa javí, aby bol dodržaný prechod na kratší pracovný úväzok s nižším príjmom, ako tomu bolo v minulosti a čiastočný dôchodok by sa mal postupne znižovať v závislosti od dosiahnutého zárobku. Pred samotnou implementáciou by bolo nevyhnutné podrobnejšie preskúmať vplyv na legislatívu SR (najmä stratu </w:t>
      </w:r>
      <w:proofErr w:type="spellStart"/>
      <w:r w:rsidRPr="00057923">
        <w:rPr>
          <w:rFonts w:ascii="Book Antiqua" w:eastAsia="Times New Roman" w:hAnsi="Book Antiqua" w:cs="Times New Roman"/>
        </w:rPr>
        <w:t>univerzality</w:t>
      </w:r>
      <w:proofErr w:type="spellEnd"/>
      <w:r w:rsidRPr="00057923">
        <w:rPr>
          <w:rFonts w:ascii="Book Antiqua" w:eastAsia="Times New Roman" w:hAnsi="Book Antiqua" w:cs="Times New Roman"/>
        </w:rPr>
        <w:t>, ak by sa to nevzťahovalo na SZČO a </w:t>
      </w:r>
      <w:proofErr w:type="spellStart"/>
      <w:r w:rsidRPr="00057923">
        <w:rPr>
          <w:rFonts w:ascii="Book Antiqua" w:eastAsia="Times New Roman" w:hAnsi="Book Antiqua" w:cs="Times New Roman"/>
        </w:rPr>
        <w:t>dohodárov</w:t>
      </w:r>
      <w:proofErr w:type="spellEnd"/>
      <w:r w:rsidRPr="00057923">
        <w:rPr>
          <w:rFonts w:ascii="Book Antiqua" w:eastAsia="Times New Roman" w:hAnsi="Book Antiqua" w:cs="Times New Roman"/>
        </w:rPr>
        <w:t xml:space="preserve"> a previazanie na Zákonník práce) a finančné a sociálne vplyvy. </w:t>
      </w: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Vo vzťahu k príkladu z Nemecka netreba zabúdať ani na národné špecifiká ako je napr. diametrálne odlišná ekonomická situácia vrátane situácie na trhu práce v Nemecku v porovnaní so Slovenskom a aj skutočnosť, že zákon k </w:t>
      </w:r>
      <w:proofErr w:type="spellStart"/>
      <w:r w:rsidRPr="00057923">
        <w:rPr>
          <w:rFonts w:ascii="Book Antiqua" w:eastAsia="Times New Roman" w:hAnsi="Book Antiqua" w:cs="Times New Roman"/>
        </w:rPr>
        <w:t>Flexi</w:t>
      </w:r>
      <w:proofErr w:type="spellEnd"/>
      <w:r w:rsidRPr="00057923">
        <w:rPr>
          <w:rFonts w:ascii="Book Antiqua" w:eastAsia="Times New Roman" w:hAnsi="Book Antiqua" w:cs="Times New Roman"/>
        </w:rPr>
        <w:t xml:space="preserve"> Rente bol implementovaný relatívne nedávno a nemáme od kolegov z Nemecka priamu spätnú väzbu k tejto legislatívnej úprave ani detailnejšie zodpovedané niektoré praktické otázky. </w:t>
      </w:r>
    </w:p>
    <w:p w:rsidR="00057923" w:rsidRPr="00057923" w:rsidRDefault="00057923" w:rsidP="00057923">
      <w:pPr>
        <w:spacing w:after="0" w:line="276" w:lineRule="auto"/>
        <w:jc w:val="both"/>
        <w:rPr>
          <w:rFonts w:ascii="Book Antiqua" w:eastAsia="Times New Roman" w:hAnsi="Book Antiqua" w:cs="Times New Roman"/>
          <w:i/>
        </w:rPr>
      </w:pPr>
    </w:p>
    <w:p w:rsidR="00057923" w:rsidRPr="00057923" w:rsidRDefault="00057923" w:rsidP="00057923">
      <w:pPr>
        <w:spacing w:after="0" w:line="276" w:lineRule="auto"/>
        <w:jc w:val="both"/>
        <w:rPr>
          <w:rFonts w:ascii="Book Antiqua" w:eastAsia="Times New Roman" w:hAnsi="Book Antiqua" w:cs="Times New Roman"/>
          <w:i/>
        </w:rPr>
      </w:pPr>
    </w:p>
    <w:p w:rsidR="00057923" w:rsidRPr="00057923" w:rsidRDefault="00057923" w:rsidP="00057923">
      <w:pPr>
        <w:spacing w:after="200" w:line="276" w:lineRule="auto"/>
        <w:jc w:val="both"/>
        <w:rPr>
          <w:rFonts w:ascii="Book Antiqua" w:eastAsia="Times New Roman" w:hAnsi="Book Antiqua" w:cs="Times New Roman"/>
          <w:b/>
          <w:sz w:val="24"/>
          <w:szCs w:val="24"/>
        </w:rPr>
      </w:pPr>
      <w:r w:rsidRPr="00057923">
        <w:rPr>
          <w:rFonts w:ascii="Book Antiqua" w:eastAsia="Times New Roman" w:hAnsi="Book Antiqua" w:cs="Times New Roman"/>
          <w:b/>
          <w:sz w:val="24"/>
          <w:szCs w:val="24"/>
        </w:rPr>
        <w:t xml:space="preserve">   4. Stanoviť optimálne podmienky vyplácania doplnkového výsluhového dôchodku zo systému doplnkového dôchodkového sporenia.</w:t>
      </w:r>
    </w:p>
    <w:p w:rsidR="00057923" w:rsidRPr="00057923" w:rsidRDefault="00057923" w:rsidP="00057923">
      <w:pPr>
        <w:spacing w:after="200" w:line="276" w:lineRule="auto"/>
        <w:jc w:val="both"/>
        <w:rPr>
          <w:rFonts w:ascii="Book Antiqua" w:eastAsia="Times New Roman" w:hAnsi="Book Antiqua" w:cs="Times New Roman"/>
          <w:b/>
          <w:i/>
          <w:szCs w:val="24"/>
        </w:rPr>
      </w:pPr>
      <w:r w:rsidRPr="00057923">
        <w:rPr>
          <w:rFonts w:ascii="Book Antiqua" w:eastAsia="Times New Roman" w:hAnsi="Book Antiqua" w:cs="Times New Roman"/>
          <w:b/>
          <w:i/>
          <w:szCs w:val="24"/>
        </w:rPr>
        <w:t>4.1. Právna úprava vzťahujúca sa na výkon rizikových prác</w:t>
      </w:r>
    </w:p>
    <w:p w:rsidR="00057923" w:rsidRPr="00057923" w:rsidRDefault="00057923" w:rsidP="00057923">
      <w:pPr>
        <w:spacing w:after="200" w:line="276" w:lineRule="auto"/>
        <w:ind w:firstLine="705"/>
        <w:jc w:val="both"/>
        <w:rPr>
          <w:rFonts w:eastAsia="Times New Roman" w:cs="Times New Roman"/>
        </w:rPr>
      </w:pPr>
      <w:r w:rsidRPr="00057923">
        <w:rPr>
          <w:rFonts w:ascii="Book Antiqua" w:eastAsia="Times New Roman" w:hAnsi="Book Antiqua" w:cs="Times New Roman"/>
        </w:rPr>
        <w:t xml:space="preserve">Dôchodkové poistenie ako súčasť európskych dôchodkových schém fungovalo v zásade už v prvej Československej republike a niekoľko rokov po skončení 2. svetovej vojny. Doplnkové dôchodkové poistenie (DDP) označované tiež ako druhý stupeň dôchodkového zabezpečenia sa uviedlo do praxe a stalo sa súčasťou právneho systému Slovenskej republiky v roku 1996 nadobudnutím účinnosti </w:t>
      </w:r>
      <w:r w:rsidRPr="00057923">
        <w:rPr>
          <w:rFonts w:ascii="Book Antiqua" w:eastAsia="Times New Roman" w:hAnsi="Book Antiqua" w:cs="Times New Roman"/>
          <w:b/>
        </w:rPr>
        <w:t>zákona č. 123/1996 Z. z. o doplnkovom dôchodkovom poistení zamestnancov a o zmene a doplnení niektorých zákonov</w:t>
      </w:r>
      <w:r w:rsidRPr="00057923">
        <w:rPr>
          <w:rFonts w:ascii="Book Antiqua" w:eastAsia="Times New Roman" w:hAnsi="Book Antiqua" w:cs="Times New Roman"/>
        </w:rPr>
        <w:t xml:space="preserve"> (ďalej len „zákon o DDP“). DDP vykonávali doplnkové dôchodkové poisťovne. DDP bolo nahradené systémom doplnkového dôchodkového sporenia (DDS) na základe prijatia </w:t>
      </w:r>
      <w:r w:rsidRPr="00057923">
        <w:rPr>
          <w:rFonts w:ascii="Book Antiqua" w:eastAsia="Times New Roman" w:hAnsi="Book Antiqua" w:cs="Times New Roman"/>
          <w:b/>
        </w:rPr>
        <w:t>zákona č. 650/2004 Z. z. o doplnkovom dôchodkovom sporení a o zmene a doplnení niektorých zákonov v znení neskorších predpisov</w:t>
      </w:r>
      <w:r w:rsidRPr="00057923">
        <w:rPr>
          <w:rFonts w:ascii="Book Antiqua" w:eastAsia="Times New Roman" w:hAnsi="Book Antiqua" w:cs="Times New Roman"/>
        </w:rPr>
        <w:t xml:space="preserve"> (ďalej len „zákon o DDS“), ktorý nadobudol účinnosť dňa 1. januára 2005. Zákonom o DDS bolo zároveň ustanovené prechodné obdobie na transformáciu doplnkových dôchodkových poisťovní na doplnkové dôchodkové spoločnosti v termíne do 30. júna 2007.</w:t>
      </w:r>
      <w:r w:rsidRPr="00057923">
        <w:rPr>
          <w:rFonts w:eastAsia="Times New Roman" w:cs="Times New Roman"/>
          <w:color w:val="1F497D"/>
        </w:rPr>
        <w:t xml:space="preserve">  </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Právne predpisy uvedené v tejto časti analýzy upravujú najmä systém opatrení súvisiacich s výkonom prác, ktoré sú zaradené na základe rozhodnutia orgánu štátnej správy na úseku verejného zdravotníctva do tretej kategórie alebo štvrtej kategórie a v prípade skončenia výkonu prác umelca vykonávajúceho profesiu tanečníka bez ohľadu na štýl a techniku v divadlách a súboroch alebo zamestnanca, ktorý je hudobný umelec vykonávajúci profesiu hráča na dychový nástroj (ďalej len „rizikové práce“) a následne s právami a povinnosťami zainteresovaných subjektov, so zaradzovaním, zmenou a vyraďovaním prác z rizikových kategórií a s vykonávaním dozoru, ako aj s benefitmi poskytovanými zamestnancom vykonávajúcim rizikové práce (ďalej len „</w:t>
      </w:r>
      <w:proofErr w:type="spellStart"/>
      <w:r w:rsidRPr="00057923">
        <w:rPr>
          <w:rFonts w:ascii="Book Antiqua" w:eastAsia="Times New Roman" w:hAnsi="Book Antiqua" w:cs="Times New Roman"/>
        </w:rPr>
        <w:t>rizikár</w:t>
      </w:r>
      <w:proofErr w:type="spellEnd"/>
      <w:r w:rsidRPr="00057923">
        <w:rPr>
          <w:rFonts w:ascii="Book Antiqua" w:eastAsia="Times New Roman" w:hAnsi="Book Antiqua" w:cs="Times New Roman"/>
        </w:rPr>
        <w:t xml:space="preserve">“).    </w:t>
      </w:r>
    </w:p>
    <w:p w:rsidR="00057923" w:rsidRPr="00057923" w:rsidRDefault="00057923" w:rsidP="00057923">
      <w:pPr>
        <w:keepNext/>
        <w:keepLines/>
        <w:spacing w:before="200" w:after="120" w:line="276" w:lineRule="auto"/>
        <w:outlineLvl w:val="1"/>
        <w:rPr>
          <w:rFonts w:ascii="Book Antiqua" w:eastAsiaTheme="minorEastAsia" w:hAnsi="Book Antiqua" w:cs="Times New Roman"/>
          <w:b/>
          <w:bCs/>
          <w:i/>
          <w:smallCaps/>
        </w:rPr>
      </w:pPr>
      <w:r w:rsidRPr="00057923">
        <w:rPr>
          <w:rFonts w:ascii="Book Antiqua" w:eastAsiaTheme="minorEastAsia" w:hAnsi="Book Antiqua" w:cs="Times New Roman"/>
          <w:b/>
          <w:bCs/>
          <w:i/>
        </w:rPr>
        <w:lastRenderedPageBreak/>
        <w:t>4.1.1. Zákon o DDP</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b/>
        </w:rPr>
        <w:t>Účelom systému DDP</w:t>
      </w:r>
      <w:r w:rsidRPr="00057923">
        <w:rPr>
          <w:rFonts w:ascii="Book Antiqua" w:eastAsia="Times New Roman" w:hAnsi="Book Antiqua" w:cs="Times New Roman"/>
        </w:rPr>
        <w:t xml:space="preserve"> bolo umožniť účastníkom vtedajšieho systému získať doplnkový dôchodkový príjem v starobe, doplnkový dôchodkový príjem v prípade skončenia výkonu prác, ktoré sú zaradené medzi rizikové práce a doplnkový dôchodkový príjem v prípade invalidity. </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Podľa zákona o DDP  </w:t>
      </w:r>
      <w:r w:rsidRPr="00057923">
        <w:rPr>
          <w:rFonts w:ascii="Book Antiqua" w:eastAsia="Times New Roman" w:hAnsi="Book Antiqua" w:cs="Times New Roman"/>
          <w:b/>
        </w:rPr>
        <w:t>účinného v čase od 1.7.1996 do 31.12.2000</w:t>
      </w:r>
      <w:r w:rsidRPr="00057923">
        <w:rPr>
          <w:rFonts w:ascii="Book Antiqua" w:eastAsia="Times New Roman" w:hAnsi="Book Antiqua" w:cs="Times New Roman"/>
        </w:rPr>
        <w:t xml:space="preserve">, zamestnávateľ platil príspevky za svojich zamestnancov, ktorí boli poistencami. Za poistenca ktorý vykonával rizikové práce, bol zamestnávateľ povinný platiť príspevok vo výške, v ktorej bol zabezpečený pomer výšky príspevku zamestnávateľa k výške príspevku poistenca najmenej 2:1. Platenie príspevkov zo strany zamestnávateľa bolo podmienené tým, že zamestnanec - </w:t>
      </w:r>
      <w:proofErr w:type="spellStart"/>
      <w:r w:rsidRPr="00057923">
        <w:rPr>
          <w:rFonts w:ascii="Book Antiqua" w:eastAsia="Times New Roman" w:hAnsi="Book Antiqua" w:cs="Times New Roman"/>
        </w:rPr>
        <w:t>rizikár</w:t>
      </w:r>
      <w:proofErr w:type="spellEnd"/>
      <w:r w:rsidRPr="00057923">
        <w:rPr>
          <w:rFonts w:ascii="Book Antiqua" w:eastAsia="Times New Roman" w:hAnsi="Book Antiqua" w:cs="Times New Roman"/>
        </w:rPr>
        <w:t xml:space="preserve"> musel uzatvoriť zamestnaneckú zmluvu s doplnkovou dôchodkovou poisťovňou, a musel si platiť príspevky vo výške dohodnutej v zamestnaneckej zmluve.</w:t>
      </w:r>
    </w:p>
    <w:p w:rsidR="00057923" w:rsidRPr="00057923" w:rsidRDefault="00057923" w:rsidP="00057923">
      <w:pPr>
        <w:spacing w:after="120" w:line="276" w:lineRule="auto"/>
        <w:ind w:firstLine="360"/>
        <w:jc w:val="both"/>
        <w:rPr>
          <w:rFonts w:ascii="Book Antiqua" w:eastAsia="Times New Roman" w:hAnsi="Book Antiqua" w:cs="Times New Roman"/>
        </w:rPr>
      </w:pPr>
      <w:r w:rsidRPr="00057923">
        <w:rPr>
          <w:rFonts w:ascii="Book Antiqua" w:eastAsia="Times New Roman" w:hAnsi="Book Antiqua" w:cs="Times New Roman"/>
        </w:rPr>
        <w:t xml:space="preserve">V čase účinnosti zákona o DDP </w:t>
      </w:r>
      <w:r w:rsidRPr="00057923">
        <w:rPr>
          <w:rFonts w:ascii="Book Antiqua" w:eastAsia="Times New Roman" w:hAnsi="Book Antiqua" w:cs="Times New Roman"/>
          <w:b/>
        </w:rPr>
        <w:t>od 1.1.2001 do 31.12.2004</w:t>
      </w:r>
      <w:r w:rsidRPr="00057923">
        <w:rPr>
          <w:rFonts w:ascii="Book Antiqua" w:eastAsia="Times New Roman" w:hAnsi="Book Antiqua" w:cs="Times New Roman"/>
        </w:rPr>
        <w:t xml:space="preserve"> mal zamestnávateľ, ktorý uzatvoril ale aj taký, ktorý neuzatvoril zamestnávateľskú zmluvu, povinnosť platiť príspevok vo výške dohodnutej v kolektívnej zmluve, najmenej však vo výške 2 % zo zúčtovanej mzdy, všetkým poistencom, ktorí vykonávali rizikové práce. Platenie príspevkov zo strany zamestnávateľa bolo podmienené tým, že zamestnanec musel uzatvoriť zamestnaneckú zmluvu s doplnkovou dôchodkovou poisťovňou, nebolo však podmienené platením príspevkov aj zo strany </w:t>
      </w:r>
      <w:proofErr w:type="spellStart"/>
      <w:r w:rsidRPr="00057923">
        <w:rPr>
          <w:rFonts w:ascii="Book Antiqua" w:eastAsia="Times New Roman" w:hAnsi="Book Antiqua" w:cs="Times New Roman"/>
        </w:rPr>
        <w:t>rizikára</w:t>
      </w:r>
      <w:proofErr w:type="spellEnd"/>
      <w:r w:rsidRPr="00057923">
        <w:rPr>
          <w:rFonts w:ascii="Book Antiqua" w:eastAsia="Times New Roman" w:hAnsi="Book Antiqua" w:cs="Times New Roman"/>
        </w:rPr>
        <w:t>, čo zodpovedá nastaveniu podmienok vo vzťahu k </w:t>
      </w:r>
      <w:proofErr w:type="spellStart"/>
      <w:r w:rsidRPr="00057923">
        <w:rPr>
          <w:rFonts w:ascii="Book Antiqua" w:eastAsia="Times New Roman" w:hAnsi="Book Antiqua" w:cs="Times New Roman"/>
        </w:rPr>
        <w:t>rizikárom</w:t>
      </w:r>
      <w:proofErr w:type="spellEnd"/>
      <w:r w:rsidRPr="00057923">
        <w:rPr>
          <w:rFonts w:ascii="Book Antiqua" w:eastAsia="Times New Roman" w:hAnsi="Book Antiqua" w:cs="Times New Roman"/>
        </w:rPr>
        <w:t xml:space="preserve"> v zmysle účinnej</w:t>
      </w:r>
      <w:bookmarkStart w:id="4" w:name="_Toc483989827"/>
      <w:r w:rsidRPr="00057923">
        <w:rPr>
          <w:rFonts w:ascii="Book Antiqua" w:eastAsia="Times New Roman" w:hAnsi="Book Antiqua" w:cs="Times New Roman"/>
        </w:rPr>
        <w:t xml:space="preserve"> právnej úpravy zákona o DDS.</w:t>
      </w:r>
    </w:p>
    <w:p w:rsidR="00057923" w:rsidRPr="00057923" w:rsidRDefault="00057923" w:rsidP="00057923">
      <w:pPr>
        <w:keepNext/>
        <w:keepLines/>
        <w:spacing w:before="200" w:after="120" w:line="276" w:lineRule="auto"/>
        <w:outlineLvl w:val="1"/>
        <w:rPr>
          <w:rFonts w:ascii="Book Antiqua" w:eastAsiaTheme="minorEastAsia" w:hAnsi="Book Antiqua" w:cs="Times New Roman"/>
          <w:b/>
          <w:bCs/>
          <w:i/>
          <w:smallCaps/>
        </w:rPr>
      </w:pPr>
      <w:r w:rsidRPr="00057923">
        <w:rPr>
          <w:rFonts w:ascii="Book Antiqua" w:eastAsiaTheme="minorEastAsia" w:hAnsi="Book Antiqua" w:cs="Times New Roman"/>
          <w:b/>
          <w:bCs/>
          <w:i/>
        </w:rPr>
        <w:t>4.1.2. Zákon o DDS</w:t>
      </w:r>
      <w:bookmarkEnd w:id="4"/>
      <w:r w:rsidRPr="00057923">
        <w:rPr>
          <w:rFonts w:ascii="Book Antiqua" w:eastAsiaTheme="minorEastAsia" w:hAnsi="Book Antiqua" w:cs="Times New Roman"/>
          <w:b/>
          <w:bCs/>
          <w:i/>
        </w:rPr>
        <w:t xml:space="preserve"> </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b/>
        </w:rPr>
        <w:t xml:space="preserve">Účelom DDS </w:t>
      </w:r>
      <w:r w:rsidRPr="00057923">
        <w:rPr>
          <w:rFonts w:ascii="Book Antiqua" w:eastAsia="Times New Roman" w:hAnsi="Book Antiqua" w:cs="Times New Roman"/>
        </w:rPr>
        <w:t>je obdobne ako bolo v systéme DDP</w:t>
      </w:r>
      <w:r w:rsidRPr="00057923">
        <w:rPr>
          <w:rFonts w:ascii="Book Antiqua" w:eastAsia="Times New Roman" w:hAnsi="Book Antiqua" w:cs="Times New Roman"/>
          <w:b/>
        </w:rPr>
        <w:t xml:space="preserve"> umožniť jeho účastníkom získať doplnkový dôchodkový príjem v starobe alebo v prípade skončenia výkonu rizikových prác, </w:t>
      </w:r>
      <w:r w:rsidRPr="00057923">
        <w:rPr>
          <w:rFonts w:ascii="Book Antiqua" w:eastAsia="Times New Roman" w:hAnsi="Book Antiqua" w:cs="Times New Roman"/>
        </w:rPr>
        <w:t>teda umožniť účastníkom</w:t>
      </w:r>
      <w:r w:rsidRPr="00057923">
        <w:rPr>
          <w:rFonts w:ascii="Book Antiqua" w:eastAsia="Times New Roman" w:hAnsi="Book Antiqua" w:cs="Times New Roman"/>
          <w:b/>
        </w:rPr>
        <w:t xml:space="preserve"> zvýšiť si svoj príjem formou doplnkového dôchodku s cieľom zmierniť rozdiel </w:t>
      </w:r>
      <w:r w:rsidRPr="00057923">
        <w:rPr>
          <w:rFonts w:ascii="Book Antiqua" w:eastAsia="Times New Roman" w:hAnsi="Book Antiqua" w:cs="Times New Roman"/>
        </w:rPr>
        <w:t>v príjme účastníka (zamestnanca) a poberateľa dôchodku</w:t>
      </w:r>
      <w:r w:rsidRPr="00057923">
        <w:rPr>
          <w:rFonts w:ascii="Book Antiqua" w:eastAsia="Times New Roman" w:hAnsi="Book Antiqua" w:cs="Times New Roman"/>
          <w:b/>
        </w:rPr>
        <w:t>.</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Účasť v tomto systéme sa umožňuje zamestnancom ale aj každej fyzickej osobe staršej ako 18 rokov (ďalej len „účastník“). </w:t>
      </w:r>
      <w:r w:rsidRPr="00057923">
        <w:rPr>
          <w:rFonts w:ascii="Book Antiqua" w:eastAsia="Times New Roman" w:hAnsi="Book Antiqua" w:cs="Times New Roman"/>
        </w:rPr>
        <w:tab/>
        <w:t>Pre väčšinu účastníkov je DDS dobrovoľným systémom, v ktorom sa stanú účastníkmi až po uzatvorení zmluvy o DDS s doplnkovou dôchodkovou spoločnosťou (ďalej len „účastnícka zmluva“). Účasť zamestnanca v tomto systéme teda nevzniká automaticky so vznikom pracovného pomeru, ale až na základe jeho vlastného rozhodnutia o vstupe do systému DDS a po uzatvorení účastníckej zmluvy.</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b/>
        </w:rPr>
        <w:t xml:space="preserve">Postavenie </w:t>
      </w:r>
      <w:proofErr w:type="spellStart"/>
      <w:r w:rsidRPr="00057923">
        <w:rPr>
          <w:rFonts w:ascii="Book Antiqua" w:eastAsia="Times New Roman" w:hAnsi="Book Antiqua" w:cs="Times New Roman"/>
          <w:b/>
        </w:rPr>
        <w:t>rizikára</w:t>
      </w:r>
      <w:proofErr w:type="spellEnd"/>
      <w:r w:rsidRPr="00057923">
        <w:rPr>
          <w:rFonts w:ascii="Book Antiqua" w:eastAsia="Times New Roman" w:hAnsi="Book Antiqua" w:cs="Times New Roman"/>
          <w:b/>
        </w:rPr>
        <w:t xml:space="preserve"> je odlišné v porovnaní s ostatnými zamestnancami.</w:t>
      </w:r>
      <w:r w:rsidRPr="00057923">
        <w:rPr>
          <w:rFonts w:ascii="Book Antiqua" w:eastAsia="Times New Roman" w:hAnsi="Book Antiqua" w:cs="Times New Roman"/>
        </w:rPr>
        <w:t xml:space="preserve"> </w:t>
      </w:r>
      <w:proofErr w:type="spellStart"/>
      <w:r w:rsidRPr="00057923">
        <w:rPr>
          <w:rFonts w:ascii="Book Antiqua" w:eastAsia="Times New Roman" w:hAnsi="Book Antiqua" w:cs="Times New Roman"/>
        </w:rPr>
        <w:t>Rizikár</w:t>
      </w:r>
      <w:proofErr w:type="spellEnd"/>
      <w:r w:rsidRPr="00057923">
        <w:rPr>
          <w:rFonts w:ascii="Book Antiqua" w:eastAsia="Times New Roman" w:hAnsi="Book Antiqua" w:cs="Times New Roman"/>
        </w:rPr>
        <w:t xml:space="preserve"> je povinný do 30 dní odo dňa začatia výkonu rizikovej práce uzatvoriť účastnícku zmluvu. V prípade zániku účastníckej zmluvy (napr. pri prestupe do inej doplnkovej dôchodkovej spoločnosti), je tento zamestnanec povinný uzatvoriť novú účastnícku zmluvu do 30 dní. Zákon o DDS </w:t>
      </w:r>
      <w:proofErr w:type="spellStart"/>
      <w:r w:rsidRPr="00057923">
        <w:rPr>
          <w:rFonts w:ascii="Book Antiqua" w:eastAsia="Times New Roman" w:hAnsi="Book Antiqua" w:cs="Times New Roman"/>
        </w:rPr>
        <w:t>rizikárovi</w:t>
      </w:r>
      <w:proofErr w:type="spellEnd"/>
      <w:r w:rsidRPr="00057923">
        <w:rPr>
          <w:rFonts w:ascii="Book Antiqua" w:eastAsia="Times New Roman" w:hAnsi="Book Antiqua" w:cs="Times New Roman"/>
        </w:rPr>
        <w:t xml:space="preserve"> aj napriek povinnosti uzatvoriť účastnícku zmluvu, neukladá sankcie v prípade nesplnenia si tejto  povinnosti. </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Príspevky na DDS (ďalej len „príspevky“) platí </w:t>
      </w:r>
      <w:r w:rsidRPr="00057923">
        <w:rPr>
          <w:rFonts w:ascii="Book Antiqua" w:eastAsia="Times New Roman" w:hAnsi="Book Antiqua" w:cs="Times New Roman"/>
          <w:b/>
        </w:rPr>
        <w:t>zamestnávateľ za zamestnanca, ktorý uzatvoril účastnícku zmluvu</w:t>
      </w:r>
      <w:r w:rsidRPr="00057923">
        <w:rPr>
          <w:rFonts w:ascii="Book Antiqua" w:eastAsia="Times New Roman" w:hAnsi="Book Antiqua" w:cs="Times New Roman"/>
        </w:rPr>
        <w:t xml:space="preserve"> a je teda účastníkom podľa zákona o DDS. </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V prípade </w:t>
      </w:r>
      <w:r w:rsidRPr="00057923">
        <w:rPr>
          <w:rFonts w:ascii="Book Antiqua" w:eastAsia="Times New Roman" w:hAnsi="Book Antiqua" w:cs="Times New Roman"/>
          <w:b/>
        </w:rPr>
        <w:t xml:space="preserve">zamestnancov, ktorí nevykonávajú rizikové práce </w:t>
      </w:r>
      <w:r w:rsidRPr="00057923">
        <w:rPr>
          <w:rFonts w:ascii="Book Antiqua" w:eastAsia="Times New Roman" w:hAnsi="Book Antiqua" w:cs="Times New Roman"/>
        </w:rPr>
        <w:t>(ďalej len „</w:t>
      </w:r>
      <w:proofErr w:type="spellStart"/>
      <w:r w:rsidRPr="00057923">
        <w:rPr>
          <w:rFonts w:ascii="Book Antiqua" w:eastAsia="Times New Roman" w:hAnsi="Book Antiqua" w:cs="Times New Roman"/>
        </w:rPr>
        <w:t>nerizikár</w:t>
      </w:r>
      <w:proofErr w:type="spellEnd"/>
      <w:r w:rsidRPr="00057923">
        <w:rPr>
          <w:rFonts w:ascii="Book Antiqua" w:eastAsia="Times New Roman" w:hAnsi="Book Antiqua" w:cs="Times New Roman"/>
        </w:rPr>
        <w:t xml:space="preserve">“), sa má zamestnávateľ možnosť rozhodnúť, či uzatvorí zamestnávateľskú zmluvu s </w:t>
      </w:r>
      <w:r w:rsidRPr="00057923">
        <w:rPr>
          <w:rFonts w:ascii="Book Antiqua" w:eastAsia="Times New Roman" w:hAnsi="Book Antiqua" w:cs="Times New Roman"/>
        </w:rPr>
        <w:lastRenderedPageBreak/>
        <w:t xml:space="preserve">doplnkovou dôchodkovou spoločnosťou a na základe tejto zmluvy sa zaviaže platiť a odvádzať príspevky za svojich zamestnancov, alebo ju neuzatvorí. Zamestnávateľ, ktorý uzatvoril zamestnávateľskú zmluvu je však už povinný za podmienok dohodnutých v zamestnávateľskej zmluve platiť príspevky za zamestnanca, ktorý uzatvoril účastnícku zmluvu, aj v prípade, že nevykonáva rizikové práce. </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b/>
        </w:rPr>
        <w:t xml:space="preserve">Pri </w:t>
      </w:r>
      <w:proofErr w:type="spellStart"/>
      <w:r w:rsidRPr="00057923">
        <w:rPr>
          <w:rFonts w:ascii="Book Antiqua" w:eastAsia="Times New Roman" w:hAnsi="Book Antiqua" w:cs="Times New Roman"/>
          <w:b/>
        </w:rPr>
        <w:t>rizikároch</w:t>
      </w:r>
      <w:proofErr w:type="spellEnd"/>
      <w:r w:rsidRPr="00057923">
        <w:rPr>
          <w:rFonts w:ascii="Book Antiqua" w:eastAsia="Times New Roman" w:hAnsi="Book Antiqua" w:cs="Times New Roman"/>
          <w:b/>
        </w:rPr>
        <w:t xml:space="preserve"> je postavenie zamestnávateľa v DDS odlišné.</w:t>
      </w:r>
      <w:r w:rsidRPr="00057923">
        <w:rPr>
          <w:rFonts w:ascii="Book Antiqua" w:eastAsia="Times New Roman" w:hAnsi="Book Antiqua" w:cs="Times New Roman"/>
        </w:rPr>
        <w:t xml:space="preserve"> V zmysle zákona o DDS je zamestnávateľ povinný uzatvoriť zamestnávateľskú zmluvu len v prípade, že zamestnáva </w:t>
      </w:r>
      <w:proofErr w:type="spellStart"/>
      <w:r w:rsidRPr="00057923">
        <w:rPr>
          <w:rFonts w:ascii="Book Antiqua" w:eastAsia="Times New Roman" w:hAnsi="Book Antiqua" w:cs="Times New Roman"/>
        </w:rPr>
        <w:t>rizikára</w:t>
      </w:r>
      <w:proofErr w:type="spellEnd"/>
      <w:r w:rsidRPr="00057923">
        <w:rPr>
          <w:rFonts w:ascii="Book Antiqua" w:eastAsia="Times New Roman" w:hAnsi="Book Antiqua" w:cs="Times New Roman"/>
        </w:rPr>
        <w:t xml:space="preserve">. Smerodajnou skutočnosťou je </w:t>
      </w:r>
      <w:r w:rsidRPr="00057923">
        <w:rPr>
          <w:rFonts w:ascii="Book Antiqua" w:eastAsia="Times New Roman" w:hAnsi="Book Antiqua" w:cs="Times New Roman"/>
          <w:b/>
        </w:rPr>
        <w:t xml:space="preserve">previazanie na pracovný pomer a vykonávanie rizikových prác </w:t>
      </w:r>
      <w:proofErr w:type="spellStart"/>
      <w:r w:rsidRPr="00057923">
        <w:rPr>
          <w:rFonts w:ascii="Book Antiqua" w:eastAsia="Times New Roman" w:hAnsi="Book Antiqua" w:cs="Times New Roman"/>
          <w:b/>
        </w:rPr>
        <w:t>rizikárom</w:t>
      </w:r>
      <w:proofErr w:type="spellEnd"/>
      <w:r w:rsidRPr="00057923">
        <w:rPr>
          <w:rFonts w:ascii="Book Antiqua" w:eastAsia="Times New Roman" w:hAnsi="Book Antiqua" w:cs="Times New Roman"/>
          <w:b/>
        </w:rPr>
        <w:t>.</w:t>
      </w:r>
      <w:r w:rsidRPr="00057923">
        <w:rPr>
          <w:rFonts w:ascii="Book Antiqua" w:eastAsia="Times New Roman" w:hAnsi="Book Antiqua" w:cs="Times New Roman"/>
        </w:rPr>
        <w:t xml:space="preserve"> Zákon o DDS zároveň ustanovuje, že zamestnávateľ je povinný platiť v týchto prípadoch príspevky </w:t>
      </w:r>
      <w:r w:rsidRPr="00057923">
        <w:rPr>
          <w:rFonts w:ascii="Book Antiqua" w:eastAsia="Times New Roman" w:hAnsi="Book Antiqua" w:cs="Times New Roman"/>
          <w:b/>
        </w:rPr>
        <w:t>od prvého dňa výkonu rizikových prác</w:t>
      </w:r>
      <w:r w:rsidRPr="00057923">
        <w:rPr>
          <w:rFonts w:ascii="Book Antiqua" w:eastAsia="Times New Roman" w:hAnsi="Book Antiqua" w:cs="Times New Roman"/>
        </w:rPr>
        <w:t xml:space="preserve"> (aj keď zamestnávateľ uzatvorí zamestnávateľskú zmluvu až v 30. deň od začatia výkonu rizikových prác).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V zmysle zákona o DDS </w:t>
      </w:r>
      <w:r w:rsidRPr="00057923">
        <w:rPr>
          <w:rFonts w:ascii="Book Antiqua" w:eastAsia="Times New Roman" w:hAnsi="Book Antiqua" w:cs="Times New Roman"/>
          <w:b/>
        </w:rPr>
        <w:t xml:space="preserve">s účinnosťou od 1. januára 2010, </w:t>
      </w:r>
      <w:r w:rsidRPr="00057923">
        <w:rPr>
          <w:rFonts w:ascii="Book Antiqua" w:eastAsia="Times New Roman" w:hAnsi="Book Antiqua" w:cs="Times New Roman"/>
        </w:rPr>
        <w:t xml:space="preserve">má vo vzťahu k doplnkovej dôchodkovej spoločnosti zamestnávateľ, </w:t>
      </w:r>
      <w:r w:rsidRPr="00057923">
        <w:rPr>
          <w:rFonts w:ascii="Book Antiqua" w:eastAsia="Times New Roman" w:hAnsi="Book Antiqua" w:cs="Times New Roman"/>
          <w:b/>
        </w:rPr>
        <w:t xml:space="preserve">ktorý platí príspevky za </w:t>
      </w:r>
      <w:proofErr w:type="spellStart"/>
      <w:r w:rsidRPr="00057923">
        <w:rPr>
          <w:rFonts w:ascii="Book Antiqua" w:eastAsia="Times New Roman" w:hAnsi="Book Antiqua" w:cs="Times New Roman"/>
          <w:b/>
        </w:rPr>
        <w:t>rizikárov</w:t>
      </w:r>
      <w:proofErr w:type="spellEnd"/>
      <w:r w:rsidRPr="00057923">
        <w:rPr>
          <w:rFonts w:ascii="Book Antiqua" w:eastAsia="Times New Roman" w:hAnsi="Book Antiqua" w:cs="Times New Roman"/>
          <w:b/>
        </w:rPr>
        <w:t xml:space="preserve">, povinnosť túto platbu v rozpise označiť spôsobom, ktorý vyjadruje skutočnosť, že ide o takéhoto účastníka. </w:t>
      </w:r>
      <w:r w:rsidRPr="00057923">
        <w:rPr>
          <w:rFonts w:ascii="Book Antiqua" w:eastAsia="Times New Roman" w:hAnsi="Book Antiqua" w:cs="Times New Roman"/>
        </w:rPr>
        <w:t xml:space="preserve">Uvedené následne súvisí s preukazovaním splnenia jednej z podmienok pre poberanie doplnkového výsluhového dôchodku, </w:t>
      </w:r>
      <w:proofErr w:type="spellStart"/>
      <w:r w:rsidRPr="00057923">
        <w:rPr>
          <w:rFonts w:ascii="Book Antiqua" w:eastAsia="Times New Roman" w:hAnsi="Book Antiqua" w:cs="Times New Roman"/>
        </w:rPr>
        <w:t>t.j</w:t>
      </w:r>
      <w:proofErr w:type="spellEnd"/>
      <w:r w:rsidRPr="00057923">
        <w:rPr>
          <w:rFonts w:ascii="Book Antiqua" w:eastAsia="Times New Roman" w:hAnsi="Book Antiqua" w:cs="Times New Roman"/>
        </w:rPr>
        <w:t xml:space="preserve">. s 10 ročným obdobím platenia príspevkov zamestnávateľa. V prípade, že si zamestnávateľ neplní svoju povinnosť a neoznačí príspevky, má </w:t>
      </w:r>
      <w:proofErr w:type="spellStart"/>
      <w:r w:rsidRPr="00057923">
        <w:rPr>
          <w:rFonts w:ascii="Book Antiqua" w:eastAsia="Times New Roman" w:hAnsi="Book Antiqua" w:cs="Times New Roman"/>
        </w:rPr>
        <w:t>rizikár</w:t>
      </w:r>
      <w:proofErr w:type="spellEnd"/>
      <w:r w:rsidRPr="00057923">
        <w:rPr>
          <w:rFonts w:ascii="Book Antiqua" w:eastAsia="Times New Roman" w:hAnsi="Book Antiqua" w:cs="Times New Roman"/>
        </w:rPr>
        <w:t xml:space="preserve"> možnosť preukázať  vykonávanie rizikových prác iným dokladom preukazujúcim platenie a odvádzanie príspevkov (napr. výpisom z účtu) alebo dokladom preukazujúcim obdobie vykonávania rizikových prác (napr. </w:t>
      </w:r>
      <w:r w:rsidRPr="00057923">
        <w:rPr>
          <w:rFonts w:ascii="Book Antiqua" w:eastAsia="Times New Roman" w:hAnsi="Book Antiqua" w:cs="Helvetica"/>
        </w:rPr>
        <w:t>doklady, ktorými preukáže pracovnoprávny vzťah, obdobný pracovný vzťah alebo iný právny vzťah k zamestnancom vykonávajúcim rizikové práce</w:t>
      </w:r>
      <w:r w:rsidRPr="00057923">
        <w:rPr>
          <w:rFonts w:ascii="Book Antiqua" w:eastAsia="Times New Roman" w:hAnsi="Book Antiqua" w:cs="Times New Roman"/>
        </w:rPr>
        <w:t>).</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Platenie príspevkov zamestnávateľa a ich výšku možno dohodnúť v </w:t>
      </w:r>
      <w:r w:rsidRPr="00057923">
        <w:rPr>
          <w:rFonts w:ascii="Book Antiqua" w:eastAsia="Times New Roman" w:hAnsi="Book Antiqua" w:cs="Times New Roman"/>
          <w:b/>
        </w:rPr>
        <w:t>kolektívnej zmluve</w:t>
      </w:r>
      <w:r w:rsidRPr="00057923">
        <w:rPr>
          <w:rFonts w:ascii="Book Antiqua" w:eastAsia="Times New Roman" w:hAnsi="Book Antiqua" w:cs="Times New Roman"/>
        </w:rPr>
        <w:t xml:space="preserve"> v rozsahu upravenom zákonom o DDS. V prípade, že u zamestnávateľa nepôsobí odborová organizácia, platenie príspevkov zamestnávateľa a ich výšku môže dohodnúť zamestnávateľ so </w:t>
      </w:r>
      <w:r w:rsidRPr="00057923">
        <w:rPr>
          <w:rFonts w:ascii="Book Antiqua" w:eastAsia="Times New Roman" w:hAnsi="Book Antiqua" w:cs="Times New Roman"/>
          <w:b/>
        </w:rPr>
        <w:t>splnomocnenými zástupcami zamestnancov</w:t>
      </w:r>
      <w:r w:rsidRPr="00057923">
        <w:rPr>
          <w:rFonts w:ascii="Book Antiqua" w:eastAsia="Times New Roman" w:hAnsi="Book Antiqua" w:cs="Times New Roman"/>
        </w:rPr>
        <w:t xml:space="preserve">. </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b/>
        </w:rPr>
        <w:t xml:space="preserve">Zamestnávateľ platí povinne príspevky za </w:t>
      </w:r>
      <w:proofErr w:type="spellStart"/>
      <w:r w:rsidRPr="00057923">
        <w:rPr>
          <w:rFonts w:ascii="Book Antiqua" w:eastAsia="Times New Roman" w:hAnsi="Book Antiqua" w:cs="Times New Roman"/>
          <w:b/>
        </w:rPr>
        <w:t>rizikárov</w:t>
      </w:r>
      <w:proofErr w:type="spellEnd"/>
      <w:r w:rsidRPr="00057923">
        <w:rPr>
          <w:rFonts w:ascii="Book Antiqua" w:eastAsia="Times New Roman" w:hAnsi="Book Antiqua" w:cs="Times New Roman"/>
        </w:rPr>
        <w:t>, a to najmenej vo výške 2 % z:</w:t>
      </w:r>
    </w:p>
    <w:p w:rsidR="00057923" w:rsidRPr="00057923" w:rsidRDefault="00057923" w:rsidP="00057923">
      <w:pPr>
        <w:keepNext/>
        <w:numPr>
          <w:ilvl w:val="0"/>
          <w:numId w:val="11"/>
        </w:numPr>
        <w:spacing w:after="120" w:line="276" w:lineRule="auto"/>
        <w:contextualSpacing/>
        <w:jc w:val="both"/>
        <w:rPr>
          <w:rFonts w:ascii="Book Antiqua" w:eastAsia="Times New Roman" w:hAnsi="Book Antiqua" w:cs="Times New Roman"/>
        </w:rPr>
      </w:pPr>
      <w:r w:rsidRPr="00057923">
        <w:rPr>
          <w:rFonts w:ascii="Book Antiqua" w:eastAsia="Times New Roman" w:hAnsi="Book Antiqua" w:cs="Times New Roman"/>
        </w:rPr>
        <w:t>z vymeriavacieho základu zamestnanca na platenie poistného na dôchodkové poistenie stanoveného podľa zákona č. 461/2003 Z. z. o sociálnom poistení v znení neskorších predpisov (ďalej len „zákon o sociálnom poistení“),</w:t>
      </w:r>
    </w:p>
    <w:p w:rsidR="00057923" w:rsidRPr="00057923" w:rsidRDefault="00057923" w:rsidP="00057923">
      <w:pPr>
        <w:keepNext/>
        <w:numPr>
          <w:ilvl w:val="0"/>
          <w:numId w:val="11"/>
        </w:numPr>
        <w:spacing w:after="120" w:line="276" w:lineRule="auto"/>
        <w:contextualSpacing/>
        <w:jc w:val="both"/>
        <w:rPr>
          <w:rFonts w:ascii="Book Antiqua" w:eastAsia="Times New Roman" w:hAnsi="Book Antiqua" w:cs="Times New Roman"/>
        </w:rPr>
      </w:pPr>
      <w:r w:rsidRPr="00057923">
        <w:rPr>
          <w:rFonts w:ascii="Book Antiqua" w:eastAsia="Times New Roman" w:hAnsi="Book Antiqua" w:cs="Times New Roman"/>
        </w:rPr>
        <w:t xml:space="preserve">príjmu zúčtovaného na výplatu, ak ide o zamestnanca, ktorý nie je dôchodkovo poistený. </w:t>
      </w:r>
    </w:p>
    <w:p w:rsidR="00057923" w:rsidRPr="00057923" w:rsidRDefault="00057923" w:rsidP="00057923">
      <w:pPr>
        <w:tabs>
          <w:tab w:val="left" w:pos="709"/>
        </w:tabs>
        <w:spacing w:after="120" w:line="276" w:lineRule="auto"/>
        <w:jc w:val="both"/>
        <w:rPr>
          <w:rFonts w:ascii="Book Antiqua" w:eastAsia="Times New Roman" w:hAnsi="Book Antiqua" w:cs="Times New Roman"/>
        </w:rPr>
      </w:pPr>
      <w:r w:rsidRPr="00057923">
        <w:rPr>
          <w:rFonts w:ascii="Book Antiqua" w:eastAsia="Times New Roman" w:hAnsi="Book Antiqua" w:cs="Times New Roman"/>
        </w:rPr>
        <w:tab/>
        <w:t xml:space="preserve">V prípade </w:t>
      </w:r>
      <w:proofErr w:type="spellStart"/>
      <w:r w:rsidRPr="00057923">
        <w:rPr>
          <w:rFonts w:ascii="Book Antiqua" w:eastAsia="Times New Roman" w:hAnsi="Book Antiqua" w:cs="Times New Roman"/>
        </w:rPr>
        <w:t>nerizikárov</w:t>
      </w:r>
      <w:proofErr w:type="spellEnd"/>
      <w:r w:rsidRPr="00057923">
        <w:rPr>
          <w:rFonts w:ascii="Book Antiqua" w:eastAsia="Times New Roman" w:hAnsi="Book Antiqua" w:cs="Times New Roman"/>
        </w:rPr>
        <w:t xml:space="preserve"> je na rozhodnutí zamestnávateľa v akej výške sa rozhodne prispievať týmto zamestnancom na DDS. </w:t>
      </w:r>
    </w:p>
    <w:p w:rsidR="00057923" w:rsidRPr="00057923" w:rsidRDefault="00057923" w:rsidP="00057923">
      <w:pPr>
        <w:spacing w:before="100" w:beforeAutospacing="1" w:after="100" w:afterAutospacing="1" w:line="276" w:lineRule="auto"/>
        <w:ind w:firstLine="357"/>
        <w:jc w:val="both"/>
        <w:rPr>
          <w:rFonts w:ascii="Book Antiqua" w:eastAsia="Times New Roman" w:hAnsi="Book Antiqua" w:cs="Times New Roman"/>
        </w:rPr>
      </w:pPr>
      <w:r w:rsidRPr="00057923">
        <w:rPr>
          <w:rFonts w:ascii="Book Antiqua" w:eastAsia="Times New Roman" w:hAnsi="Book Antiqua" w:cs="Times New Roman"/>
        </w:rPr>
        <w:tab/>
        <w:t>Doplnková dôchodková spoločnosť je povinná vyplatiť dočasný doplnkový starobný dôchodok, dočasný doplnkový výsluhový dôchodok, jednorazové vyrovnanie a predčasný výber, ak o </w:t>
      </w:r>
      <w:proofErr w:type="spellStart"/>
      <w:r w:rsidRPr="00057923">
        <w:rPr>
          <w:rFonts w:ascii="Book Antiqua" w:eastAsia="Times New Roman" w:hAnsi="Book Antiqua" w:cs="Times New Roman"/>
        </w:rPr>
        <w:t>ne</w:t>
      </w:r>
      <w:proofErr w:type="spellEnd"/>
      <w:r w:rsidRPr="00057923">
        <w:rPr>
          <w:rFonts w:ascii="Book Antiqua" w:eastAsia="Times New Roman" w:hAnsi="Book Antiqua" w:cs="Times New Roman"/>
        </w:rPr>
        <w:t xml:space="preserve"> účastník požiada po splnení podmienok na ich vyplácanie v zmysle zákona o DDS</w:t>
      </w:r>
      <w:r w:rsidRPr="00057923">
        <w:rPr>
          <w:rFonts w:ascii="Book Antiqua" w:eastAsia="Times New Roman" w:hAnsi="Book Antiqua" w:cs="Times New Roman"/>
          <w:b/>
        </w:rPr>
        <w:t>. Aké dávky sa konkrétnemu účastníkovi môžu vyplácať závisí od toho, v akom období uzatvoril účastnícku zmluvu, či je jej súčasťou dávkový plán a od obdobia sporenia či obdobia výkonu rizikových prác, od výšky nasporenej sumy, životnej situácie a pod.</w:t>
      </w:r>
      <w:r w:rsidRPr="00057923">
        <w:rPr>
          <w:rFonts w:ascii="Book Antiqua" w:eastAsia="Times New Roman" w:hAnsi="Book Antiqua" w:cs="Times New Roman"/>
        </w:rPr>
        <w:t xml:space="preserve"> </w:t>
      </w:r>
      <w:r w:rsidRPr="00057923">
        <w:rPr>
          <w:rFonts w:ascii="Book Antiqua" w:eastAsia="Times New Roman" w:hAnsi="Book Antiqua" w:cs="Times New Roman"/>
        </w:rPr>
        <w:lastRenderedPageBreak/>
        <w:t xml:space="preserve">V kontexte analýzy je dôležité mať na zreteli, že </w:t>
      </w:r>
      <w:proofErr w:type="spellStart"/>
      <w:r w:rsidRPr="00057923">
        <w:rPr>
          <w:rFonts w:ascii="Book Antiqua" w:eastAsia="Times New Roman" w:hAnsi="Book Antiqua" w:cs="Times New Roman"/>
        </w:rPr>
        <w:t>rizikár</w:t>
      </w:r>
      <w:proofErr w:type="spellEnd"/>
      <w:r w:rsidRPr="00057923">
        <w:rPr>
          <w:rFonts w:ascii="Book Antiqua" w:eastAsia="Times New Roman" w:hAnsi="Book Antiqua" w:cs="Times New Roman"/>
        </w:rPr>
        <w:t xml:space="preserve"> si môže vybrať, ktorú dávku preferuje a nemusí nutne poberať iba doplnkový výsluhový dôchodok. </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Pre účastníkov, ktorí svoju </w:t>
      </w:r>
      <w:r w:rsidRPr="00057923">
        <w:rPr>
          <w:rFonts w:ascii="Book Antiqua" w:eastAsia="Times New Roman" w:hAnsi="Book Antiqua" w:cs="Times New Roman"/>
          <w:b/>
        </w:rPr>
        <w:t>zmluvu</w:t>
      </w:r>
      <w:r w:rsidRPr="00057923">
        <w:rPr>
          <w:rFonts w:ascii="Book Antiqua" w:eastAsia="Times New Roman" w:hAnsi="Book Antiqua" w:cs="Times New Roman"/>
        </w:rPr>
        <w:t xml:space="preserve"> </w:t>
      </w:r>
      <w:r w:rsidRPr="00057923">
        <w:rPr>
          <w:rFonts w:ascii="Book Antiqua" w:eastAsia="Times New Roman" w:hAnsi="Book Antiqua" w:cs="Times New Roman"/>
          <w:b/>
        </w:rPr>
        <w:t>uzavreli do 31.12.2013 a súčasťou ich zmluvy je dávkový plán</w:t>
      </w:r>
      <w:r w:rsidRPr="00057923">
        <w:rPr>
          <w:rFonts w:ascii="Book Antiqua" w:eastAsia="Times New Roman" w:hAnsi="Book Antiqua" w:cs="Times New Roman"/>
        </w:rPr>
        <w:t xml:space="preserve">, platí, že </w:t>
      </w:r>
      <w:r w:rsidRPr="00057923">
        <w:rPr>
          <w:rFonts w:ascii="Book Antiqua" w:eastAsia="Times New Roman" w:hAnsi="Book Antiqua" w:cs="Times New Roman"/>
          <w:b/>
        </w:rPr>
        <w:t>zmeny zákona o DDS ich dávky neovplyvňujú</w:t>
      </w:r>
      <w:r w:rsidRPr="00057923">
        <w:rPr>
          <w:rFonts w:ascii="Book Antiqua" w:eastAsia="Times New Roman" w:hAnsi="Book Antiqua" w:cs="Times New Roman"/>
        </w:rPr>
        <w:t xml:space="preserve"> (platí to taktiež pre účastníkov, ktorí svoju zmluvu uzatvorili v čase fungovania DDP, </w:t>
      </w:r>
      <w:proofErr w:type="spellStart"/>
      <w:r w:rsidRPr="00057923">
        <w:rPr>
          <w:rFonts w:ascii="Book Antiqua" w:eastAsia="Times New Roman" w:hAnsi="Book Antiqua" w:cs="Times New Roman"/>
        </w:rPr>
        <w:t>t.j</w:t>
      </w:r>
      <w:proofErr w:type="spellEnd"/>
      <w:r w:rsidRPr="00057923">
        <w:rPr>
          <w:rFonts w:ascii="Book Antiqua" w:eastAsia="Times New Roman" w:hAnsi="Book Antiqua" w:cs="Times New Roman"/>
        </w:rPr>
        <w:t xml:space="preserve">. v období od 1.7.1996 do 31.12.2003). Dávky, ktoré im môžu byť na základe ich uzatvorenej zmluvy vyplácané, sú rôzne a v závislosti od dávkového plánu prislúchajúcemu k uzatvorenej zmluve sa líšia v podmienkach vyplácania (viď Príloha – Tabuľka 11 a 12). Faktom ostáva, že dávkové plány takýmto účastníkom umožňujú natoľko benevolentné čerpanie svojich dôchodkových úspor, že v roku 2013 bolo nutnosťou systém DDS novelizovať a upraviť možnosti čerpania nasporenej sumy účastníkov tak, aby DDS naozaj spĺňalo svoj účel, </w:t>
      </w:r>
      <w:proofErr w:type="spellStart"/>
      <w:r w:rsidRPr="00057923">
        <w:rPr>
          <w:rFonts w:ascii="Book Antiqua" w:eastAsia="Times New Roman" w:hAnsi="Book Antiqua" w:cs="Times New Roman"/>
        </w:rPr>
        <w:t>t.j</w:t>
      </w:r>
      <w:proofErr w:type="spellEnd"/>
      <w:r w:rsidRPr="00057923">
        <w:rPr>
          <w:rFonts w:ascii="Book Antiqua" w:eastAsia="Times New Roman" w:hAnsi="Book Antiqua" w:cs="Times New Roman"/>
        </w:rPr>
        <w:t xml:space="preserve">. umožniť účastníkovi získať doplnkový dôchodkový príjem </w:t>
      </w:r>
      <w:r w:rsidRPr="00057923">
        <w:rPr>
          <w:rFonts w:ascii="Book Antiqua" w:eastAsia="Times New Roman" w:hAnsi="Book Antiqua" w:cs="Times New Roman"/>
          <w:u w:val="single"/>
        </w:rPr>
        <w:t xml:space="preserve">v starobe a po skončení výkonu rizikových prác. </w:t>
      </w:r>
    </w:p>
    <w:p w:rsidR="00057923" w:rsidRPr="00057923" w:rsidRDefault="00057923" w:rsidP="00057923">
      <w:pPr>
        <w:spacing w:before="100" w:beforeAutospacing="1" w:after="100" w:afterAutospacing="1" w:line="276" w:lineRule="auto"/>
        <w:ind w:firstLine="708"/>
        <w:jc w:val="both"/>
        <w:rPr>
          <w:rFonts w:ascii="Book Antiqua" w:eastAsia="Times New Roman" w:hAnsi="Book Antiqua" w:cs="Times New Roman"/>
        </w:rPr>
      </w:pPr>
      <w:r w:rsidRPr="00057923">
        <w:rPr>
          <w:rFonts w:ascii="Book Antiqua" w:eastAsia="Times New Roman" w:hAnsi="Book Antiqua" w:cs="Times New Roman"/>
          <w:b/>
        </w:rPr>
        <w:t xml:space="preserve">Účastníkom, ktorí svoju zmluvu uzavreli od 1.1.2014, resp. podpísali dodatok k účastníckej zmluve, ktorým sa zrušil ich dávkový plán, </w:t>
      </w:r>
      <w:r w:rsidRPr="00057923">
        <w:rPr>
          <w:rFonts w:ascii="Book Antiqua" w:eastAsia="Times New Roman" w:hAnsi="Book Antiqua" w:cs="Times New Roman"/>
        </w:rPr>
        <w:t>upravuje dávky, ktoré im môžu byť vyplatené, priamo zákon o DDS.</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Z DDS sa za podmienok ustanovených zákonom o DDS vyplácajú účastníkom nasledujúce dávky:</w:t>
      </w:r>
    </w:p>
    <w:p w:rsidR="00057923" w:rsidRPr="00057923" w:rsidRDefault="00057923" w:rsidP="00057923">
      <w:pPr>
        <w:numPr>
          <w:ilvl w:val="0"/>
          <w:numId w:val="43"/>
        </w:numPr>
        <w:spacing w:after="120" w:line="276" w:lineRule="auto"/>
        <w:contextualSpacing/>
        <w:jc w:val="both"/>
        <w:rPr>
          <w:rFonts w:ascii="Book Antiqua" w:eastAsia="Times New Roman" w:hAnsi="Book Antiqua" w:cs="Times New Roman"/>
        </w:rPr>
      </w:pPr>
      <w:r w:rsidRPr="00057923">
        <w:rPr>
          <w:rFonts w:ascii="Book Antiqua" w:eastAsia="Times New Roman" w:hAnsi="Book Antiqua" w:cs="Times New Roman"/>
          <w:b/>
        </w:rPr>
        <w:t>Doplnkový starobný dôchodok</w:t>
      </w:r>
      <w:r w:rsidRPr="00057923">
        <w:rPr>
          <w:rFonts w:ascii="Book Antiqua" w:eastAsia="Times New Roman" w:hAnsi="Book Antiqua" w:cs="Times New Roman"/>
        </w:rPr>
        <w:t xml:space="preserve"> sa vypláca po dosiahnutí 62 rokov veku</w:t>
      </w:r>
      <w:r w:rsidRPr="00057923">
        <w:rPr>
          <w:rFonts w:ascii="Book Antiqua" w:eastAsia="Times New Roman" w:hAnsi="Book Antiqua" w:cs="Times New Roman"/>
          <w:vertAlign w:val="superscript"/>
        </w:rPr>
        <w:footnoteReference w:id="15"/>
      </w:r>
      <w:r w:rsidRPr="00057923">
        <w:rPr>
          <w:rFonts w:ascii="Book Antiqua" w:eastAsia="Times New Roman" w:hAnsi="Book Antiqua" w:cs="Times New Roman"/>
        </w:rPr>
        <w:t xml:space="preserve">, resp. ak poberá predčasný starobný/starobný dôchodok zo systému sociálneho poistenia (I. piliera) a to vo forme doživotného doplnkového starobného dôchodku alebo dočasného doplnkového starobného dôchodku (vypláca sa najmenej 5 rokov). </w:t>
      </w:r>
    </w:p>
    <w:p w:rsidR="00057923" w:rsidRPr="00057923" w:rsidRDefault="00057923" w:rsidP="00057923">
      <w:pPr>
        <w:spacing w:after="120" w:line="276" w:lineRule="auto"/>
        <w:ind w:left="720"/>
        <w:contextualSpacing/>
        <w:jc w:val="both"/>
        <w:rPr>
          <w:rFonts w:ascii="Book Antiqua" w:eastAsia="Times New Roman" w:hAnsi="Book Antiqua" w:cs="Times New Roman"/>
        </w:rPr>
      </w:pPr>
    </w:p>
    <w:p w:rsidR="00057923" w:rsidRPr="00057923" w:rsidRDefault="00057923" w:rsidP="00057923">
      <w:pPr>
        <w:numPr>
          <w:ilvl w:val="0"/>
          <w:numId w:val="43"/>
        </w:numPr>
        <w:spacing w:after="120" w:line="276" w:lineRule="auto"/>
        <w:contextualSpacing/>
        <w:jc w:val="both"/>
        <w:rPr>
          <w:rFonts w:ascii="Book Antiqua" w:eastAsia="Times New Roman" w:hAnsi="Book Antiqua" w:cs="Times New Roman"/>
        </w:rPr>
      </w:pPr>
      <w:r w:rsidRPr="00057923">
        <w:rPr>
          <w:rFonts w:ascii="Book Antiqua" w:eastAsia="Times New Roman" w:hAnsi="Book Antiqua" w:cs="Times New Roman"/>
          <w:b/>
        </w:rPr>
        <w:t>Doplnkový výsluhový dôchodok</w:t>
      </w:r>
      <w:r w:rsidRPr="00057923">
        <w:rPr>
          <w:rFonts w:ascii="Book Antiqua" w:eastAsia="Times New Roman" w:hAnsi="Book Antiqua" w:cs="Times New Roman"/>
        </w:rPr>
        <w:t>, je určený iba pre osoby, za ktoré platil zamestnávateľ príspevky z dôvodu výkonu rizikovej práce najmenej 10 rokov a dovŕšili 55 rokov veku. Doplnkový výsluhový dôchodok sa vypláca vo forme doživotného doplnkového výsluhového dôchodku alebo vo forme dočasného doplnkového výsluhového dôchodku najmenej 5 rokov.</w:t>
      </w:r>
    </w:p>
    <w:p w:rsidR="00057923" w:rsidRPr="00057923" w:rsidRDefault="00057923" w:rsidP="00057923">
      <w:pPr>
        <w:spacing w:after="120" w:line="276" w:lineRule="auto"/>
        <w:ind w:left="720"/>
        <w:contextualSpacing/>
        <w:jc w:val="both"/>
        <w:rPr>
          <w:rFonts w:ascii="Book Antiqua" w:eastAsia="Times New Roman" w:hAnsi="Book Antiqua" w:cs="Times New Roman"/>
        </w:rPr>
      </w:pPr>
    </w:p>
    <w:p w:rsidR="00057923" w:rsidRPr="00057923" w:rsidRDefault="00057923" w:rsidP="00057923">
      <w:pPr>
        <w:numPr>
          <w:ilvl w:val="0"/>
          <w:numId w:val="43"/>
        </w:numPr>
        <w:spacing w:after="120" w:line="276" w:lineRule="auto"/>
        <w:contextualSpacing/>
        <w:jc w:val="both"/>
        <w:rPr>
          <w:rFonts w:ascii="Book Antiqua" w:eastAsia="Times New Roman" w:hAnsi="Book Antiqua" w:cs="Times New Roman"/>
        </w:rPr>
      </w:pPr>
      <w:r w:rsidRPr="00057923">
        <w:rPr>
          <w:rFonts w:ascii="Book Antiqua" w:eastAsia="Times New Roman" w:hAnsi="Book Antiqua" w:cs="Times New Roman"/>
          <w:b/>
        </w:rPr>
        <w:t>Jednorazové vyrovnanie</w:t>
      </w:r>
      <w:r w:rsidRPr="00057923">
        <w:rPr>
          <w:rFonts w:ascii="Book Antiqua" w:eastAsia="Times New Roman" w:hAnsi="Book Antiqua" w:cs="Times New Roman"/>
        </w:rPr>
        <w:t xml:space="preserve"> je určené pre niektoré špecifické situácie ako vyplácanie invalidného dôchodku z I. piliera, nízka nasporená suma účastníka v čase dovŕšenia dôchodkového veku (nižšia ako 2-násobok priemernej mzdy), zrušenie príspevkových doplnkových dôchodkových fondov doplnkovej dôchodkovej spoločnosti, resp. zrušenie celej doplnkovej dôchodkovej spoločnosti. Časť nasporenej sumy si môže vybrať v podobe jednorazového vyrovnania každý účastník DDS ak požiada aj o vyplácanie dočasného dôchodku, resp. doživotného dôchodku.</w:t>
      </w:r>
    </w:p>
    <w:p w:rsidR="00057923" w:rsidRPr="00057923" w:rsidRDefault="00057923" w:rsidP="00057923">
      <w:pPr>
        <w:spacing w:after="120" w:line="276" w:lineRule="auto"/>
        <w:ind w:left="720"/>
        <w:contextualSpacing/>
        <w:jc w:val="both"/>
        <w:rPr>
          <w:rFonts w:ascii="Book Antiqua" w:eastAsia="Times New Roman" w:hAnsi="Book Antiqua" w:cs="Times New Roman"/>
        </w:rPr>
      </w:pPr>
    </w:p>
    <w:p w:rsidR="00057923" w:rsidRPr="00057923" w:rsidRDefault="00057923" w:rsidP="00057923">
      <w:pPr>
        <w:numPr>
          <w:ilvl w:val="0"/>
          <w:numId w:val="43"/>
        </w:numPr>
        <w:spacing w:after="120" w:line="276" w:lineRule="auto"/>
        <w:contextualSpacing/>
        <w:jc w:val="both"/>
        <w:rPr>
          <w:rFonts w:ascii="Book Antiqua" w:eastAsia="Times New Roman" w:hAnsi="Book Antiqua" w:cs="Times New Roman"/>
        </w:rPr>
      </w:pPr>
      <w:r w:rsidRPr="00057923">
        <w:rPr>
          <w:rFonts w:ascii="Book Antiqua" w:eastAsia="Times New Roman" w:hAnsi="Book Antiqua" w:cs="Times New Roman"/>
          <w:b/>
        </w:rPr>
        <w:lastRenderedPageBreak/>
        <w:t>Predčasný výber</w:t>
      </w:r>
      <w:r w:rsidRPr="00057923">
        <w:rPr>
          <w:rFonts w:ascii="Book Antiqua" w:eastAsia="Times New Roman" w:hAnsi="Book Antiqua" w:cs="Times New Roman"/>
        </w:rPr>
        <w:t xml:space="preserve"> sa účastníkovi môže vyplatiť vždy po 10 rokoch sporenia vo výške nasporenej sumy tvorenej z jeho vlastných príspevkov. </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Účastníkov, ktorí majú uzatvorené zmluvy s dávkovým plánom, sa prípadná zmena podmienok výplatnej fázy v III. pilieri nedotkne v prípade, že budú mať naďalej uzatvorené zmluvy s dávkovým plánom. Na druhej strane môžu títo účastníci kedykoľvek podpísať dodatok k uzatvorenej zmluve a tak prejsť na podmienky výplatnej fázy upravené zákonom o DDS. </w:t>
      </w:r>
    </w:p>
    <w:p w:rsidR="00057923" w:rsidRPr="00057923" w:rsidRDefault="00057923" w:rsidP="00057923">
      <w:pPr>
        <w:tabs>
          <w:tab w:val="left" w:pos="709"/>
        </w:tabs>
        <w:spacing w:after="120" w:line="276" w:lineRule="auto"/>
        <w:jc w:val="both"/>
        <w:rPr>
          <w:rFonts w:ascii="Book Antiqua" w:eastAsia="Times New Roman" w:hAnsi="Book Antiqua" w:cs="Times New Roman"/>
        </w:rPr>
      </w:pPr>
      <w:r w:rsidRPr="00057923">
        <w:rPr>
          <w:rFonts w:ascii="Book Antiqua" w:eastAsia="Times New Roman" w:hAnsi="Book Antiqua" w:cs="Times New Roman"/>
        </w:rPr>
        <w:tab/>
        <w:t xml:space="preserve"> Práva a povinnosti, či už na strane účastníkov systému DDS alebo zamestnávateľov sú upravené v </w:t>
      </w:r>
      <w:r w:rsidRPr="00057923">
        <w:rPr>
          <w:rFonts w:ascii="Book Antiqua" w:eastAsia="Times New Roman" w:hAnsi="Book Antiqua" w:cs="Times New Roman"/>
          <w:b/>
        </w:rPr>
        <w:t>účastníckej zmluve a zamestnávateľskej zmluve</w:t>
      </w:r>
      <w:r w:rsidRPr="00057923">
        <w:rPr>
          <w:rFonts w:ascii="Book Antiqua" w:eastAsia="Times New Roman" w:hAnsi="Book Antiqua" w:cs="Times New Roman"/>
        </w:rPr>
        <w:t xml:space="preserve">. </w:t>
      </w:r>
    </w:p>
    <w:p w:rsidR="00057923" w:rsidRPr="00057923" w:rsidRDefault="00057923" w:rsidP="00057923">
      <w:pPr>
        <w:spacing w:after="120" w:line="276" w:lineRule="auto"/>
        <w:jc w:val="both"/>
        <w:rPr>
          <w:rFonts w:ascii="Book Antiqua" w:eastAsia="Times New Roman" w:hAnsi="Book Antiqua" w:cs="Times New Roman"/>
          <w:lang w:eastAsia="sk-SK"/>
        </w:rPr>
      </w:pPr>
      <w:r w:rsidRPr="00057923">
        <w:rPr>
          <w:rFonts w:ascii="Book Antiqua" w:eastAsia="Times New Roman" w:hAnsi="Book Antiqua" w:cs="Times New Roman"/>
          <w:lang w:eastAsia="sk-SK"/>
        </w:rPr>
        <w:tab/>
      </w:r>
      <w:r w:rsidRPr="00057923">
        <w:rPr>
          <w:rFonts w:ascii="Book Antiqua" w:eastAsia="Times New Roman" w:hAnsi="Book Antiqua" w:cs="Times New Roman"/>
          <w:b/>
          <w:lang w:eastAsia="sk-SK"/>
        </w:rPr>
        <w:t>Zamestnávateľskú zmluvu</w:t>
      </w:r>
      <w:r w:rsidRPr="00057923">
        <w:rPr>
          <w:rFonts w:ascii="Book Antiqua" w:eastAsia="Times New Roman" w:hAnsi="Book Antiqua" w:cs="Times New Roman"/>
          <w:lang w:eastAsia="sk-SK"/>
        </w:rPr>
        <w:t xml:space="preserve"> uzatvára zamestnávateľ s doplnkovou dôchodkovou spoločnosťou. </w:t>
      </w:r>
    </w:p>
    <w:p w:rsidR="00057923" w:rsidRPr="00057923" w:rsidRDefault="00057923" w:rsidP="00057923">
      <w:pPr>
        <w:spacing w:after="120" w:line="276" w:lineRule="auto"/>
        <w:jc w:val="both"/>
        <w:rPr>
          <w:rFonts w:ascii="Book Antiqua" w:eastAsia="Times New Roman" w:hAnsi="Book Antiqua" w:cs="Times New Roman"/>
          <w:lang w:eastAsia="sk-SK"/>
        </w:rPr>
      </w:pPr>
      <w:r w:rsidRPr="00057923">
        <w:rPr>
          <w:rFonts w:ascii="Book Antiqua" w:eastAsia="Times New Roman" w:hAnsi="Book Antiqua" w:cs="Times New Roman"/>
          <w:lang w:eastAsia="sk-SK"/>
        </w:rPr>
        <w:tab/>
        <w:t xml:space="preserve">Účastník môže uzatvoriť s tou istou doplnkovou dôchodkovou spoločnosťou </w:t>
      </w:r>
      <w:r w:rsidRPr="00057923">
        <w:rPr>
          <w:rFonts w:ascii="Book Antiqua" w:eastAsia="Times New Roman" w:hAnsi="Book Antiqua" w:cs="Times New Roman"/>
          <w:b/>
          <w:lang w:eastAsia="sk-SK"/>
        </w:rPr>
        <w:t>jednu alebo viac účastníckych zmlúv</w:t>
      </w:r>
      <w:r w:rsidRPr="00057923">
        <w:rPr>
          <w:rFonts w:ascii="Book Antiqua" w:eastAsia="Times New Roman" w:hAnsi="Book Antiqua" w:cs="Times New Roman"/>
          <w:lang w:eastAsia="sk-SK"/>
        </w:rPr>
        <w:t xml:space="preserve">. V prípade zamestnancov, ktorí majú uzatvorenú viac ako jednu účastnícku zmluvu, má zamestnávateľ povinnosť platiť príspevky len raz a na účet nepriradených platieb pre účastnícku zmluvu, ktorú si jeho zamestnanec zvolil. </w:t>
      </w:r>
    </w:p>
    <w:p w:rsidR="00057923" w:rsidRPr="00057923" w:rsidRDefault="00057923" w:rsidP="00057923">
      <w:pPr>
        <w:spacing w:after="120" w:line="276" w:lineRule="auto"/>
        <w:ind w:firstLine="708"/>
        <w:jc w:val="both"/>
        <w:rPr>
          <w:rFonts w:ascii="Book Antiqua" w:eastAsia="Times New Roman" w:hAnsi="Book Antiqua" w:cs="Times New Roman"/>
          <w:lang w:eastAsia="sk-SK"/>
        </w:rPr>
      </w:pPr>
      <w:r w:rsidRPr="00057923">
        <w:rPr>
          <w:rFonts w:ascii="Book Antiqua" w:eastAsia="Times New Roman" w:hAnsi="Book Antiqua" w:cs="Times New Roman"/>
          <w:lang w:eastAsia="sk-SK"/>
        </w:rPr>
        <w:t>V systéme DDS je zamestnávateľ povinný informovať svojich zamestnancov o obsahu zamestnávateľskej zmluvy, ktorú uzatvoril s doplnkovou dôchodkovou spoločnosťou a to tak, aby získali potrebné informácie o možnostiach a po</w:t>
      </w:r>
      <w:bookmarkStart w:id="5" w:name="_Toc483989828"/>
      <w:r w:rsidRPr="00057923">
        <w:rPr>
          <w:rFonts w:ascii="Book Antiqua" w:eastAsia="Times New Roman" w:hAnsi="Book Antiqua" w:cs="Times New Roman"/>
          <w:lang w:eastAsia="sk-SK"/>
        </w:rPr>
        <w:t xml:space="preserve">dmienkach ich účasti na DDS. </w:t>
      </w:r>
    </w:p>
    <w:p w:rsidR="00057923" w:rsidRPr="00057923" w:rsidRDefault="00057923" w:rsidP="00057923">
      <w:pPr>
        <w:keepNext/>
        <w:keepLines/>
        <w:spacing w:before="200" w:after="120" w:line="276" w:lineRule="auto"/>
        <w:jc w:val="both"/>
        <w:outlineLvl w:val="1"/>
        <w:rPr>
          <w:rFonts w:ascii="Book Antiqua" w:eastAsiaTheme="minorEastAsia" w:hAnsi="Book Antiqua" w:cs="Times New Roman"/>
          <w:b/>
          <w:bCs/>
          <w:i/>
          <w:smallCaps/>
        </w:rPr>
      </w:pPr>
      <w:r w:rsidRPr="00057923">
        <w:rPr>
          <w:rFonts w:ascii="Book Antiqua" w:eastAsiaTheme="minorEastAsia" w:hAnsi="Book Antiqua" w:cs="Times New Roman"/>
          <w:b/>
          <w:bCs/>
          <w:i/>
        </w:rPr>
        <w:t>4.1.3. Zákon č. 125/2006 Z. z. o inšpekcii práce a o zmene a doplnení zákona č. 82/2005 Z. z. o nelegálnej práci a nelegálnom zamestnávaní a o zmene a doplnení niektorých zákonov v znení neskorších predpisov (ďalej len „zákon o inšpekcii práce“)</w:t>
      </w:r>
      <w:bookmarkEnd w:id="5"/>
    </w:p>
    <w:p w:rsidR="00057923" w:rsidRPr="00057923" w:rsidRDefault="00057923" w:rsidP="00057923">
      <w:pPr>
        <w:tabs>
          <w:tab w:val="left" w:pos="709"/>
        </w:tabs>
        <w:spacing w:after="120" w:line="276" w:lineRule="auto"/>
        <w:jc w:val="both"/>
        <w:rPr>
          <w:rFonts w:ascii="Book Antiqua" w:eastAsia="Times New Roman" w:hAnsi="Book Antiqua" w:cs="Times New Roman"/>
        </w:rPr>
      </w:pPr>
      <w:r w:rsidRPr="00057923">
        <w:rPr>
          <w:rFonts w:ascii="Book Antiqua" w:eastAsia="Times New Roman" w:hAnsi="Book Antiqua" w:cs="Times New Roman"/>
          <w:b/>
          <w:lang w:eastAsia="sk-SK"/>
        </w:rPr>
        <w:tab/>
      </w:r>
      <w:r w:rsidRPr="00057923">
        <w:rPr>
          <w:rFonts w:ascii="Book Antiqua" w:eastAsia="Times New Roman" w:hAnsi="Book Antiqua" w:cs="Times New Roman"/>
          <w:lang w:eastAsia="sk-SK"/>
        </w:rPr>
        <w:t xml:space="preserve">V zmysle zákona o inšpekcii práce sa </w:t>
      </w:r>
      <w:r w:rsidRPr="00057923">
        <w:rPr>
          <w:rFonts w:ascii="Book Antiqua" w:eastAsia="Times New Roman" w:hAnsi="Book Antiqua" w:cs="Times New Roman"/>
          <w:b/>
          <w:lang w:eastAsia="sk-SK"/>
        </w:rPr>
        <w:t xml:space="preserve">vykonáva dozor nad dodržiavaním zákona o DDS v rozsahu povinnosti zamestnávateľa uzatvoriť zamestnávateľskú zmluvu a platiť a odvádzať príspevky za </w:t>
      </w:r>
      <w:proofErr w:type="spellStart"/>
      <w:r w:rsidRPr="00057923">
        <w:rPr>
          <w:rFonts w:ascii="Book Antiqua" w:eastAsia="Times New Roman" w:hAnsi="Book Antiqua" w:cs="Times New Roman"/>
          <w:b/>
          <w:lang w:eastAsia="sk-SK"/>
        </w:rPr>
        <w:t>rizikárov</w:t>
      </w:r>
      <w:proofErr w:type="spellEnd"/>
      <w:r w:rsidRPr="00057923">
        <w:rPr>
          <w:rFonts w:ascii="Book Antiqua" w:eastAsia="Times New Roman" w:hAnsi="Book Antiqua" w:cs="Times New Roman"/>
          <w:lang w:eastAsia="sk-SK"/>
        </w:rPr>
        <w:t xml:space="preserve">. </w:t>
      </w:r>
    </w:p>
    <w:p w:rsidR="00057923" w:rsidRPr="00057923" w:rsidRDefault="00057923" w:rsidP="00057923">
      <w:pPr>
        <w:spacing w:after="120" w:line="276" w:lineRule="auto"/>
        <w:jc w:val="both"/>
        <w:rPr>
          <w:rFonts w:ascii="Book Antiqua" w:eastAsia="Times New Roman" w:hAnsi="Book Antiqua" w:cs="Times New Roman"/>
        </w:rPr>
      </w:pPr>
      <w:r w:rsidRPr="00057923">
        <w:rPr>
          <w:rFonts w:ascii="Book Antiqua" w:eastAsia="Times New Roman" w:hAnsi="Book Antiqua" w:cs="Times New Roman"/>
        </w:rPr>
        <w:tab/>
        <w:t>Inšpektoráty práce (IP) posudzujú, či a ako sú na pracoviskách realizované príslušné pracovnoprávne vzťahy, ako sú plnené práva a záujmy zamestnancov i zamestnávateľov.</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Inšpekcia práce je vo vzťahu k vykonávaniu rizikových prác:</w:t>
      </w:r>
    </w:p>
    <w:p w:rsidR="00057923" w:rsidRPr="00057923" w:rsidRDefault="00057923" w:rsidP="00057923">
      <w:pPr>
        <w:numPr>
          <w:ilvl w:val="0"/>
          <w:numId w:val="42"/>
        </w:numPr>
        <w:spacing w:after="120" w:line="276" w:lineRule="auto"/>
        <w:contextualSpacing/>
        <w:jc w:val="both"/>
        <w:rPr>
          <w:rFonts w:ascii="Book Antiqua" w:eastAsia="Times New Roman" w:hAnsi="Book Antiqua" w:cs="Times New Roman"/>
        </w:rPr>
      </w:pPr>
      <w:r w:rsidRPr="00057923">
        <w:rPr>
          <w:rFonts w:ascii="Book Antiqua" w:eastAsia="Times New Roman" w:hAnsi="Book Antiqua" w:cs="Times New Roman"/>
        </w:rPr>
        <w:t xml:space="preserve">dozor nad dodržiavaním zákona o DDS zamestnávateľom v rozsahu jeho povinností uzatvoriť zamestnávateľskú zmluvu a platiť a odvádzať príspevky za </w:t>
      </w:r>
      <w:proofErr w:type="spellStart"/>
      <w:r w:rsidRPr="00057923">
        <w:rPr>
          <w:rFonts w:ascii="Book Antiqua" w:eastAsia="Times New Roman" w:hAnsi="Book Antiqua" w:cs="Times New Roman"/>
        </w:rPr>
        <w:t>rizikára</w:t>
      </w:r>
      <w:proofErr w:type="spellEnd"/>
      <w:r w:rsidRPr="00057923">
        <w:rPr>
          <w:rFonts w:ascii="Book Antiqua" w:eastAsia="Times New Roman" w:hAnsi="Book Antiqua" w:cs="Times New Roman"/>
        </w:rPr>
        <w:t>,</w:t>
      </w:r>
    </w:p>
    <w:p w:rsidR="00057923" w:rsidRPr="00057923" w:rsidRDefault="00057923" w:rsidP="00057923">
      <w:pPr>
        <w:numPr>
          <w:ilvl w:val="0"/>
          <w:numId w:val="42"/>
        </w:numPr>
        <w:spacing w:after="120" w:line="276" w:lineRule="auto"/>
        <w:contextualSpacing/>
        <w:jc w:val="both"/>
        <w:rPr>
          <w:rFonts w:ascii="Book Antiqua" w:eastAsia="Times New Roman" w:hAnsi="Book Antiqua" w:cs="Times New Roman"/>
        </w:rPr>
      </w:pPr>
      <w:r w:rsidRPr="00057923">
        <w:rPr>
          <w:rFonts w:ascii="Book Antiqua" w:eastAsia="Times New Roman" w:hAnsi="Book Antiqua" w:cs="Times New Roman"/>
        </w:rPr>
        <w:t xml:space="preserve">vyvodzovanie zodpovednosti za porušovanie zákona o DDS a za porušovanie záväzkov vyplývajúcich z kolektívnych zmlúv. </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V súvislosti s plnením povinností zamestnávateľa uzatvoriť zamestnávateľskú zmluvu a platiť a odvádzať príspevky za </w:t>
      </w:r>
      <w:proofErr w:type="spellStart"/>
      <w:r w:rsidRPr="00057923">
        <w:rPr>
          <w:rFonts w:ascii="Book Antiqua" w:eastAsia="Times New Roman" w:hAnsi="Book Antiqua" w:cs="Times New Roman"/>
        </w:rPr>
        <w:t>rizikára</w:t>
      </w:r>
      <w:proofErr w:type="spellEnd"/>
      <w:r w:rsidRPr="00057923">
        <w:rPr>
          <w:rFonts w:ascii="Book Antiqua" w:eastAsia="Times New Roman" w:hAnsi="Book Antiqua" w:cs="Times New Roman"/>
        </w:rPr>
        <w:t xml:space="preserve">, IP kontrolujú uzatváranie účastníckych zmlúv, nakoľko </w:t>
      </w:r>
      <w:r w:rsidRPr="00057923">
        <w:rPr>
          <w:rFonts w:ascii="Book Antiqua" w:eastAsia="Times New Roman" w:hAnsi="Book Antiqua" w:cs="Times New Roman"/>
          <w:b/>
        </w:rPr>
        <w:t xml:space="preserve">platenie príspevkov zo strany zamestnávateľa je podmienené uzatvorením účastníckej zmluvy zo strany </w:t>
      </w:r>
      <w:proofErr w:type="spellStart"/>
      <w:r w:rsidRPr="00057923">
        <w:rPr>
          <w:rFonts w:ascii="Book Antiqua" w:eastAsia="Times New Roman" w:hAnsi="Book Antiqua" w:cs="Times New Roman"/>
          <w:b/>
        </w:rPr>
        <w:t>rizikára</w:t>
      </w:r>
      <w:proofErr w:type="spellEnd"/>
      <w:r w:rsidRPr="00057923">
        <w:rPr>
          <w:rFonts w:ascii="Book Antiqua" w:eastAsia="Times New Roman" w:hAnsi="Book Antiqua" w:cs="Times New Roman"/>
        </w:rPr>
        <w:t>.</w:t>
      </w:r>
    </w:p>
    <w:p w:rsidR="00057923" w:rsidRPr="00057923" w:rsidRDefault="00057923" w:rsidP="00057923">
      <w:pPr>
        <w:spacing w:after="120" w:line="276" w:lineRule="auto"/>
        <w:jc w:val="both"/>
        <w:rPr>
          <w:rFonts w:ascii="Book Antiqua" w:eastAsia="Times New Roman" w:hAnsi="Book Antiqua" w:cs="Times New Roman"/>
        </w:rPr>
      </w:pPr>
      <w:r w:rsidRPr="00057923">
        <w:rPr>
          <w:rFonts w:ascii="Book Antiqua" w:eastAsia="Times New Roman" w:hAnsi="Book Antiqua" w:cs="Times New Roman"/>
        </w:rPr>
        <w:tab/>
        <w:t xml:space="preserve">Štátnu správu v oblasti inšpekcie práce vykonávajú orgány štátnej správy, ktorými sú Ministerstvo práce, sociálnych vecí  a rodiny Slovenskej republiky (MPSVR SR) ako ústredný orgán štátnej správy, Národný inšpektorát práce (NIP) na zabezpečenie úloh s celoslovenskou pôsobnosťou a osem IP ako regionálnych výkonných inštitúcií v oblasti inšpekcie práce. </w:t>
      </w:r>
    </w:p>
    <w:p w:rsidR="00057923" w:rsidRPr="00057923" w:rsidRDefault="00057923" w:rsidP="00057923">
      <w:pPr>
        <w:spacing w:after="120" w:line="276" w:lineRule="auto"/>
        <w:jc w:val="both"/>
        <w:rPr>
          <w:rFonts w:ascii="Book Antiqua" w:eastAsia="Times New Roman" w:hAnsi="Book Antiqua" w:cs="Times New Roman"/>
          <w:b/>
        </w:rPr>
      </w:pPr>
      <w:r w:rsidRPr="00057923">
        <w:rPr>
          <w:rFonts w:ascii="Book Antiqua" w:eastAsia="Times New Roman" w:hAnsi="Book Antiqua" w:cs="Times New Roman"/>
        </w:rPr>
        <w:lastRenderedPageBreak/>
        <w:tab/>
      </w:r>
      <w:r w:rsidRPr="00057923">
        <w:rPr>
          <w:rFonts w:ascii="Book Antiqua" w:eastAsia="Times New Roman" w:hAnsi="Book Antiqua" w:cs="Times New Roman"/>
          <w:b/>
        </w:rPr>
        <w:t xml:space="preserve">NIP zabezpečuje aj prevádzku informačného systému ochrany práce (ISOP), ktorý je </w:t>
      </w:r>
      <w:r w:rsidRPr="00057923">
        <w:rPr>
          <w:rFonts w:ascii="Book Antiqua" w:eastAsia="Times New Roman" w:hAnsi="Book Antiqua" w:cs="Times New Roman"/>
        </w:rPr>
        <w:t xml:space="preserve">nevyhnutný pre chod a vykonávanie činnosti IP a NIP. Uvedený systém obsahuje napr. všeobecne záväzné právne predpisy, zistené nedostatky, hlásené pracovné úrazy, subjekty podliehajúce dozoru a pod. </w:t>
      </w:r>
      <w:r w:rsidRPr="00057923">
        <w:rPr>
          <w:rFonts w:ascii="Book Antiqua" w:eastAsia="Times New Roman" w:hAnsi="Book Antiqua" w:cs="Times New Roman"/>
          <w:b/>
        </w:rPr>
        <w:t>Súčasťou ISOP sú aj údaje o previerkach zameraných na kontrolu povinností DDS, vrátane ich výsledkov, uloženia pokút a pod. Informácie o </w:t>
      </w:r>
      <w:proofErr w:type="spellStart"/>
      <w:r w:rsidRPr="00057923">
        <w:rPr>
          <w:rFonts w:ascii="Book Antiqua" w:eastAsia="Times New Roman" w:hAnsi="Book Antiqua" w:cs="Times New Roman"/>
          <w:b/>
        </w:rPr>
        <w:t>rizikároch</w:t>
      </w:r>
      <w:proofErr w:type="spellEnd"/>
      <w:r w:rsidRPr="00057923">
        <w:rPr>
          <w:rFonts w:ascii="Book Antiqua" w:eastAsia="Times New Roman" w:hAnsi="Book Antiqua" w:cs="Times New Roman"/>
          <w:b/>
        </w:rPr>
        <w:t xml:space="preserve"> nie sú zahrnuté v ISOP.</w:t>
      </w: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rPr>
        <w:tab/>
        <w:t xml:space="preserve">V priebehu rokov 2014 – 2017 boli NIP realizované mimoriadne previerky zamerané na dodržiavanie povinností zamestnávateľa v oblasti DDS s názvom </w:t>
      </w:r>
      <w:proofErr w:type="spellStart"/>
      <w:r w:rsidRPr="00057923">
        <w:rPr>
          <w:rFonts w:ascii="Book Antiqua" w:eastAsia="Times New Roman" w:hAnsi="Book Antiqua" w:cs="Times New Roman"/>
        </w:rPr>
        <w:t>Škrtič</w:t>
      </w:r>
      <w:proofErr w:type="spellEnd"/>
      <w:r w:rsidRPr="00057923">
        <w:rPr>
          <w:rFonts w:ascii="Book Antiqua" w:eastAsia="Times New Roman" w:hAnsi="Book Antiqua" w:cs="Times New Roman"/>
        </w:rPr>
        <w:t xml:space="preserve"> I – </w:t>
      </w:r>
      <w:proofErr w:type="spellStart"/>
      <w:r w:rsidRPr="00057923">
        <w:rPr>
          <w:rFonts w:ascii="Book Antiqua" w:eastAsia="Times New Roman" w:hAnsi="Book Antiqua" w:cs="Times New Roman"/>
        </w:rPr>
        <w:t>Škrtič</w:t>
      </w:r>
      <w:proofErr w:type="spellEnd"/>
      <w:r w:rsidRPr="00057923">
        <w:rPr>
          <w:rFonts w:ascii="Book Antiqua" w:eastAsia="Times New Roman" w:hAnsi="Book Antiqua" w:cs="Times New Roman"/>
        </w:rPr>
        <w:t xml:space="preserve"> IV (ďalej len „kontrolné akcie </w:t>
      </w:r>
      <w:proofErr w:type="spellStart"/>
      <w:r w:rsidRPr="00057923">
        <w:rPr>
          <w:rFonts w:ascii="Book Antiqua" w:eastAsia="Times New Roman" w:hAnsi="Book Antiqua" w:cs="Times New Roman"/>
        </w:rPr>
        <w:t>Škrtič</w:t>
      </w:r>
      <w:proofErr w:type="spellEnd"/>
      <w:r w:rsidRPr="00057923">
        <w:rPr>
          <w:rFonts w:ascii="Book Antiqua" w:eastAsia="Times New Roman" w:hAnsi="Book Antiqua" w:cs="Times New Roman"/>
        </w:rPr>
        <w:t xml:space="preserve">“), ktorých obsahom bolo: </w:t>
      </w:r>
    </w:p>
    <w:p w:rsidR="00057923" w:rsidRPr="00057923" w:rsidRDefault="00057923" w:rsidP="00057923">
      <w:pPr>
        <w:numPr>
          <w:ilvl w:val="0"/>
          <w:numId w:val="44"/>
        </w:numPr>
        <w:spacing w:after="0" w:line="276" w:lineRule="auto"/>
        <w:contextualSpacing/>
        <w:jc w:val="both"/>
        <w:rPr>
          <w:rFonts w:ascii="Book Antiqua" w:eastAsia="Times New Roman" w:hAnsi="Book Antiqua" w:cs="Times New Roman"/>
        </w:rPr>
      </w:pPr>
      <w:r w:rsidRPr="00057923">
        <w:rPr>
          <w:rFonts w:ascii="Book Antiqua" w:eastAsia="Times New Roman" w:hAnsi="Book Antiqua" w:cs="Times New Roman"/>
        </w:rPr>
        <w:t>vykonávanie dozoru nad plnením povinností vyplývajúcich zo zákona o DDS,</w:t>
      </w:r>
    </w:p>
    <w:p w:rsidR="00057923" w:rsidRPr="00057923" w:rsidRDefault="00057923" w:rsidP="00057923">
      <w:pPr>
        <w:numPr>
          <w:ilvl w:val="0"/>
          <w:numId w:val="44"/>
        </w:numPr>
        <w:spacing w:after="0" w:line="276" w:lineRule="auto"/>
        <w:contextualSpacing/>
        <w:jc w:val="both"/>
        <w:rPr>
          <w:rFonts w:ascii="Book Antiqua" w:eastAsia="Times New Roman" w:hAnsi="Book Antiqua" w:cs="Times New Roman"/>
        </w:rPr>
      </w:pPr>
      <w:r w:rsidRPr="00057923">
        <w:rPr>
          <w:rFonts w:ascii="Book Antiqua" w:eastAsia="Times New Roman" w:hAnsi="Book Antiqua" w:cs="Times New Roman"/>
        </w:rPr>
        <w:t>dôsledné ukladanie pokút za zistené správne delikty v zmysle zákona o inšpekcii práce vyplývajúce z porušenia povinností podľa zákona o DDS,</w:t>
      </w:r>
    </w:p>
    <w:p w:rsidR="00057923" w:rsidRPr="00057923" w:rsidRDefault="00057923" w:rsidP="00057923">
      <w:pPr>
        <w:numPr>
          <w:ilvl w:val="0"/>
          <w:numId w:val="44"/>
        </w:numPr>
        <w:spacing w:after="0" w:line="276" w:lineRule="auto"/>
        <w:contextualSpacing/>
        <w:jc w:val="both"/>
        <w:rPr>
          <w:rFonts w:ascii="Book Antiqua" w:eastAsia="Times New Roman" w:hAnsi="Book Antiqua" w:cs="Times New Roman"/>
        </w:rPr>
      </w:pPr>
      <w:r w:rsidRPr="00057923">
        <w:rPr>
          <w:rFonts w:ascii="Book Antiqua" w:eastAsia="Times New Roman" w:hAnsi="Book Antiqua" w:cs="Times New Roman"/>
        </w:rPr>
        <w:t xml:space="preserve">získanie informácie o plnení opatrení nariadených IP vykonaním následných previerok (v prípade </w:t>
      </w:r>
      <w:proofErr w:type="spellStart"/>
      <w:r w:rsidRPr="00057923">
        <w:rPr>
          <w:rFonts w:ascii="Book Antiqua" w:eastAsia="Times New Roman" w:hAnsi="Book Antiqua" w:cs="Times New Roman"/>
        </w:rPr>
        <w:t>Škrtiča</w:t>
      </w:r>
      <w:proofErr w:type="spellEnd"/>
      <w:r w:rsidRPr="00057923">
        <w:rPr>
          <w:rFonts w:ascii="Book Antiqua" w:eastAsia="Times New Roman" w:hAnsi="Book Antiqua" w:cs="Times New Roman"/>
        </w:rPr>
        <w:t xml:space="preserve"> I) a zistenie reálneho stavu platenia príspevkov na DDS (v prípade </w:t>
      </w:r>
      <w:proofErr w:type="spellStart"/>
      <w:r w:rsidRPr="00057923">
        <w:rPr>
          <w:rFonts w:ascii="Book Antiqua" w:eastAsia="Times New Roman" w:hAnsi="Book Antiqua" w:cs="Times New Roman"/>
        </w:rPr>
        <w:t>Škrtiča</w:t>
      </w:r>
      <w:proofErr w:type="spellEnd"/>
      <w:r w:rsidRPr="00057923">
        <w:rPr>
          <w:rFonts w:ascii="Book Antiqua" w:eastAsia="Times New Roman" w:hAnsi="Book Antiqua" w:cs="Times New Roman"/>
        </w:rPr>
        <w:t xml:space="preserve"> II, </w:t>
      </w:r>
      <w:proofErr w:type="spellStart"/>
      <w:r w:rsidRPr="00057923">
        <w:rPr>
          <w:rFonts w:ascii="Book Antiqua" w:eastAsia="Times New Roman" w:hAnsi="Book Antiqua" w:cs="Times New Roman"/>
        </w:rPr>
        <w:t>Škrtiča</w:t>
      </w:r>
      <w:proofErr w:type="spellEnd"/>
      <w:r w:rsidRPr="00057923">
        <w:rPr>
          <w:rFonts w:ascii="Book Antiqua" w:eastAsia="Times New Roman" w:hAnsi="Book Antiqua" w:cs="Times New Roman"/>
        </w:rPr>
        <w:t xml:space="preserve"> III a </w:t>
      </w:r>
      <w:proofErr w:type="spellStart"/>
      <w:r w:rsidRPr="00057923">
        <w:rPr>
          <w:rFonts w:ascii="Book Antiqua" w:eastAsia="Times New Roman" w:hAnsi="Book Antiqua" w:cs="Times New Roman"/>
        </w:rPr>
        <w:t>Škrtiča</w:t>
      </w:r>
      <w:proofErr w:type="spellEnd"/>
      <w:r w:rsidRPr="00057923">
        <w:rPr>
          <w:rFonts w:ascii="Book Antiqua" w:eastAsia="Times New Roman" w:hAnsi="Book Antiqua" w:cs="Times New Roman"/>
        </w:rPr>
        <w:t xml:space="preserve"> IV).</w:t>
      </w:r>
    </w:p>
    <w:p w:rsidR="00057923" w:rsidRPr="00057923" w:rsidRDefault="00057923" w:rsidP="00057923">
      <w:pPr>
        <w:spacing w:after="0" w:line="276" w:lineRule="auto"/>
        <w:ind w:left="720"/>
        <w:contextualSpacing/>
        <w:jc w:val="both"/>
        <w:rPr>
          <w:rFonts w:ascii="Book Antiqua" w:eastAsia="Times New Roman" w:hAnsi="Book Antiqua" w:cs="Times New Roman"/>
        </w:rPr>
      </w:pPr>
    </w:p>
    <w:p w:rsidR="00057923" w:rsidRPr="00057923" w:rsidRDefault="00057923" w:rsidP="00057923">
      <w:pPr>
        <w:spacing w:after="200" w:line="276" w:lineRule="auto"/>
        <w:ind w:firstLine="708"/>
        <w:jc w:val="both"/>
        <w:rPr>
          <w:rFonts w:ascii="Book Antiqua" w:eastAsia="Times New Roman" w:hAnsi="Book Antiqua" w:cs="Times New Roman"/>
        </w:rPr>
      </w:pPr>
      <w:proofErr w:type="spellStart"/>
      <w:r w:rsidRPr="00057923">
        <w:rPr>
          <w:rFonts w:ascii="Book Antiqua" w:eastAsia="Times New Roman" w:hAnsi="Book Antiqua" w:cs="Times New Roman"/>
        </w:rPr>
        <w:t>Škrtiča</w:t>
      </w:r>
      <w:proofErr w:type="spellEnd"/>
      <w:r w:rsidRPr="00057923">
        <w:rPr>
          <w:rFonts w:ascii="Book Antiqua" w:eastAsia="Times New Roman" w:hAnsi="Book Antiqua" w:cs="Times New Roman"/>
        </w:rPr>
        <w:t xml:space="preserve"> I odporúčal vykonať minister práce, sociálnych vecí a rodiny SR v roku 2013. </w:t>
      </w:r>
      <w:proofErr w:type="spellStart"/>
      <w:r w:rsidRPr="00057923">
        <w:rPr>
          <w:rFonts w:ascii="Book Antiqua" w:eastAsia="Times New Roman" w:hAnsi="Book Antiqua" w:cs="Times New Roman"/>
        </w:rPr>
        <w:t>Škrtič</w:t>
      </w:r>
      <w:proofErr w:type="spellEnd"/>
      <w:r w:rsidRPr="00057923">
        <w:rPr>
          <w:rFonts w:ascii="Book Antiqua" w:eastAsia="Times New Roman" w:hAnsi="Book Antiqua" w:cs="Times New Roman"/>
        </w:rPr>
        <w:t xml:space="preserve"> II a predovšetkým </w:t>
      </w:r>
      <w:proofErr w:type="spellStart"/>
      <w:r w:rsidRPr="00057923">
        <w:rPr>
          <w:rFonts w:ascii="Book Antiqua" w:eastAsia="Times New Roman" w:hAnsi="Book Antiqua" w:cs="Times New Roman"/>
        </w:rPr>
        <w:t>Škrtič</w:t>
      </w:r>
      <w:proofErr w:type="spellEnd"/>
      <w:r w:rsidRPr="00057923">
        <w:rPr>
          <w:rFonts w:ascii="Book Antiqua" w:eastAsia="Times New Roman" w:hAnsi="Book Antiqua" w:cs="Times New Roman"/>
        </w:rPr>
        <w:t xml:space="preserve"> III a </w:t>
      </w:r>
      <w:proofErr w:type="spellStart"/>
      <w:r w:rsidRPr="00057923">
        <w:rPr>
          <w:rFonts w:ascii="Book Antiqua" w:eastAsia="Times New Roman" w:hAnsi="Book Antiqua" w:cs="Times New Roman"/>
        </w:rPr>
        <w:t>Škrtič</w:t>
      </w:r>
      <w:proofErr w:type="spellEnd"/>
      <w:r w:rsidRPr="00057923">
        <w:rPr>
          <w:rFonts w:ascii="Book Antiqua" w:eastAsia="Times New Roman" w:hAnsi="Book Antiqua" w:cs="Times New Roman"/>
        </w:rPr>
        <w:t xml:space="preserve"> IV boli realizované s cieľom získania smerodajných údajov týkajúcich sa vymožiteľnosti práva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v systéme DDS. </w:t>
      </w:r>
      <w:bookmarkStart w:id="6" w:name="_Toc483989829"/>
    </w:p>
    <w:p w:rsidR="00057923" w:rsidRPr="00057923" w:rsidRDefault="00057923" w:rsidP="00057923">
      <w:pPr>
        <w:spacing w:after="120" w:line="276" w:lineRule="auto"/>
        <w:jc w:val="both"/>
        <w:rPr>
          <w:rFonts w:ascii="Book Antiqua" w:eastAsia="Times New Roman" w:hAnsi="Book Antiqua" w:cs="Times New Roman"/>
          <w:b/>
          <w:i/>
        </w:rPr>
      </w:pPr>
      <w:r w:rsidRPr="00057923">
        <w:rPr>
          <w:rFonts w:ascii="Book Antiqua" w:eastAsia="Times New Roman" w:hAnsi="Book Antiqua" w:cs="Times New Roman"/>
          <w:b/>
          <w:i/>
        </w:rPr>
        <w:t>4.1.4. Zákon č. 355/2007 Z. z. o ochrane, podpore a rozvoji  verejného zdravia a o zmene a doplnení niektorých zákonov</w:t>
      </w:r>
      <w:r w:rsidRPr="00057923">
        <w:rPr>
          <w:rFonts w:eastAsia="Times New Roman" w:cs="Times New Roman"/>
          <w:b/>
          <w:i/>
          <w:vanish/>
        </w:rPr>
        <w:t>o ochrane, podpore a rozvoji verejného zdravia a o zmene a doplnení niektorých zákonov</w:t>
      </w:r>
      <w:r w:rsidRPr="00057923">
        <w:rPr>
          <w:rFonts w:ascii="Book Antiqua" w:eastAsia="Times New Roman" w:hAnsi="Book Antiqua" w:cs="Times New Roman"/>
          <w:b/>
          <w:i/>
        </w:rPr>
        <w:t xml:space="preserve"> v znení neskorších predpisov (ďalej len „zákon o ochrane zdravia“)</w:t>
      </w:r>
      <w:bookmarkEnd w:id="6"/>
      <w:r w:rsidRPr="00057923">
        <w:rPr>
          <w:rFonts w:ascii="Book Antiqua" w:eastAsia="Times New Roman" w:hAnsi="Book Antiqua" w:cs="Times New Roman"/>
          <w:b/>
          <w:i/>
        </w:rPr>
        <w:t xml:space="preserve"> </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Právna úprava tohto zákona ustanovuje okrem iného výkon štátneho zdravotného dozoru, priestupky a iné správne delikty na úseku verejného zdravotníctva. Orgánmi verejného zdravotníctva sú predovšetkým Ministerstvo zdravotníctva Slovenskej republiky (MZ SR), Úrad verejného zdravotníctva Slovenskej republiky (ÚVZ SR) a regionálne úrady verejného zdravotníctva (RÚVZ). </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ÚVZ SR pri plnení úloh na zabezpečenie zdravých pracovných podmienok spolupracuje s orgánmi štátnej správy v oblasti inšpekcie práce, ktorými sú MPSVR SR, NIP, IP, ako aj s ostatnými orgánmi dozoru.</w:t>
      </w:r>
    </w:p>
    <w:p w:rsidR="00057923" w:rsidRPr="00057923" w:rsidRDefault="00057923" w:rsidP="00057923">
      <w:pPr>
        <w:spacing w:after="120" w:line="276" w:lineRule="auto"/>
        <w:jc w:val="both"/>
        <w:rPr>
          <w:rFonts w:ascii="Book Antiqua" w:eastAsia="Times New Roman" w:hAnsi="Book Antiqua" w:cs="Times New Roman"/>
        </w:rPr>
      </w:pPr>
      <w:r w:rsidRPr="00057923">
        <w:rPr>
          <w:rFonts w:ascii="Book Antiqua" w:eastAsia="Times New Roman" w:hAnsi="Book Antiqua" w:cs="Times New Roman"/>
        </w:rPr>
        <w:tab/>
        <w:t xml:space="preserve">ÚVZ SR a RÚVZ </w:t>
      </w:r>
      <w:r w:rsidRPr="00057923">
        <w:rPr>
          <w:rFonts w:ascii="Book Antiqua" w:eastAsia="Times New Roman" w:hAnsi="Book Antiqua" w:cs="Times New Roman"/>
          <w:b/>
        </w:rPr>
        <w:t>vedú registre rizikových prác a rozhodujú o návrhoch na zaradenie práce do tretej kategórie alebo štvrtej kategórie,</w:t>
      </w:r>
      <w:r w:rsidRPr="00057923">
        <w:rPr>
          <w:rFonts w:ascii="Book Antiqua" w:eastAsia="Times New Roman" w:hAnsi="Book Antiqua" w:cs="Times New Roman"/>
        </w:rPr>
        <w:t xml:space="preserve"> ako aj o návrhoch na zmenu alebo vyradenie prác z tretej kategórie alebo štvrtej kategórie. </w:t>
      </w:r>
    </w:p>
    <w:p w:rsidR="00057923" w:rsidRPr="00057923" w:rsidRDefault="00057923" w:rsidP="00057923">
      <w:pPr>
        <w:spacing w:after="120" w:line="276" w:lineRule="auto"/>
        <w:ind w:firstLine="708"/>
        <w:jc w:val="both"/>
        <w:rPr>
          <w:rFonts w:ascii="Book Antiqua" w:eastAsia="Times New Roman" w:hAnsi="Book Antiqua" w:cs="Times New Roman"/>
          <w:b/>
          <w:u w:val="single"/>
        </w:rPr>
      </w:pPr>
      <w:r w:rsidRPr="00057923">
        <w:rPr>
          <w:rFonts w:ascii="Book Antiqua" w:eastAsia="Times New Roman" w:hAnsi="Book Antiqua" w:cs="Times New Roman"/>
          <w:b/>
          <w:u w:val="single"/>
        </w:rPr>
        <w:t>Riziková práca v zmysle zákona o ochrane zdravia je práca, pri ktorej je zvýšené nebezpečenstvo vzniku choroby z povolania, profesionálnej otravy alebo iného poškodenia zdravia v súvislosti s prácou. Riziková práca je práca zaradená do tretej kategórie a štvrtej kategórie. O zaradení práce do rizikovej kategórie, o zmene alebo vyradení práce z tretej kategórie a štvrtej kategórie rozhoduje príslušný orgán verejného zdravotníctva na základe návrhu zamestnávateľa, fyzickej osoby – podnikateľa, ktorý nezamestnáva iné fyzické osoby, alebo z vlastného podnetu.</w:t>
      </w:r>
    </w:p>
    <w:p w:rsidR="00057923" w:rsidRPr="00057923" w:rsidRDefault="00057923" w:rsidP="00057923">
      <w:pPr>
        <w:keepNext/>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lastRenderedPageBreak/>
        <w:t xml:space="preserve">Na základe úrovne a charakteru faktorov práce a pracovného prostredia, ktoré môžu ovplyvniť zdravie zamestnancov, hodnotenia zdravotných rizík, ako aj na základe zmien zdravotného stavu zamestnancov sa práce zaraďujú do štyroch kategórií, ktoré sú opísané v Prílohe v Tabuľke 14. </w:t>
      </w:r>
      <w:r w:rsidRPr="00057923">
        <w:rPr>
          <w:rFonts w:ascii="Book Antiqua" w:eastAsia="Times New Roman" w:hAnsi="Book Antiqua" w:cs="Times New Roman"/>
          <w:b/>
        </w:rPr>
        <w:t>Do štvrtej kategórie sa zaraďujú práce len výnimočne na obmedzený čas, najviac na jeden rok.</w:t>
      </w:r>
    </w:p>
    <w:p w:rsidR="00057923" w:rsidRPr="00057923" w:rsidRDefault="00057923" w:rsidP="00057923">
      <w:pPr>
        <w:spacing w:after="200" w:line="276" w:lineRule="auto"/>
        <w:jc w:val="both"/>
        <w:rPr>
          <w:rFonts w:ascii="Book Antiqua" w:eastAsia="Times New Roman" w:hAnsi="Book Antiqua" w:cs="Times New Roman"/>
          <w:b/>
          <w:i/>
          <w:kern w:val="36"/>
        </w:rPr>
      </w:pPr>
      <w:bookmarkStart w:id="7" w:name="_Toc483989830"/>
      <w:r w:rsidRPr="00057923">
        <w:rPr>
          <w:rFonts w:ascii="Book Antiqua" w:eastAsia="Times New Roman" w:hAnsi="Book Antiqua" w:cs="Times New Roman"/>
          <w:b/>
          <w:i/>
          <w:kern w:val="36"/>
        </w:rPr>
        <w:t>4.1.5. Vyhláška MZ SR č. 448/2007 Z. z. o podrobnostiach o faktoroch práce a pracovného prostredia vo vzťahu ku kategorizácii prác z hľadiska zdravotných rizík a o náležitostiach návrhu na zaradenie prác do kategórií v znení neskorších predpisov (ďalej len „vyhláška č. 448/2007 Z. z.“)</w:t>
      </w:r>
      <w:bookmarkEnd w:id="7"/>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Zaraďovanie prác medzi rizikové práce v zmysle zákona o ochrane zdravia sa vykonáva podľa vyhlášky č. 448/2007 Z. z..</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 </w:t>
      </w:r>
      <w:r w:rsidRPr="00057923">
        <w:rPr>
          <w:rFonts w:ascii="Book Antiqua" w:eastAsia="Times New Roman" w:hAnsi="Book Antiqua" w:cs="Times New Roman"/>
          <w:b/>
        </w:rPr>
        <w:t>Príloha č. 1</w:t>
      </w:r>
      <w:r w:rsidRPr="00057923">
        <w:rPr>
          <w:rFonts w:ascii="Book Antiqua" w:eastAsia="Times New Roman" w:hAnsi="Book Antiqua" w:cs="Times New Roman"/>
        </w:rPr>
        <w:t xml:space="preserve"> vyhlášky č. 448/2007 Z. z. obsahuje podrobnosti o faktoroch práce a pracovného prostredia podľa zaradenia prác do kategórií (faktorov je celkom 17) – pevné aerosóly (prach), hluk, vibrácie, chemické faktory, karcinogénne faktory a mutagénne faktory, faktory spôsobujúce vznik profesionálnych kožných ochorení, ionizujúce žiarenie, elektromagnetické žiarenie, optické žiarenie (ultrafialové, infračervené, lasery), biologické faktory, faktory spôsobujúce profesionálne alergické ochorenia dýchacích ciest alebo očných spojoviek, zvýšený tlak vzduchu, fyzická záťaž, psychická pracovná záťaž, záťaž teplom a chladom.</w:t>
      </w:r>
    </w:p>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rPr>
        <w:tab/>
      </w:r>
      <w:r w:rsidRPr="00057923">
        <w:rPr>
          <w:rFonts w:ascii="Book Antiqua" w:eastAsia="Times New Roman" w:hAnsi="Book Antiqua" w:cs="Times New Roman"/>
          <w:b/>
        </w:rPr>
        <w:t>Príloha č. 2</w:t>
      </w:r>
      <w:r w:rsidRPr="00057923">
        <w:rPr>
          <w:rFonts w:ascii="Book Antiqua" w:eastAsia="Times New Roman" w:hAnsi="Book Antiqua" w:cs="Times New Roman"/>
        </w:rPr>
        <w:t xml:space="preserve"> vyhlášky č. 448/2007 Z. z. obsahuje náležitosti návrhu na zaradenie prác do tretej kategórie a štvrtej kategórie (údaje o zamestnávateľovi a pracovisku, faktoroch práce a pracovného prostredia, opatrenia (technické a organizačné a iné) na zníženie zdravotného rizika, zabezpečenie zdravotného dohľadu).</w:t>
      </w:r>
    </w:p>
    <w:p w:rsidR="00057923" w:rsidRPr="00057923" w:rsidRDefault="00057923" w:rsidP="00057923">
      <w:pPr>
        <w:spacing w:after="0" w:line="276" w:lineRule="auto"/>
        <w:ind w:firstLine="709"/>
        <w:jc w:val="both"/>
        <w:rPr>
          <w:rFonts w:ascii="Book Antiqua" w:eastAsia="Times New Roman" w:hAnsi="Book Antiqua" w:cs="Times New Roman"/>
        </w:rPr>
      </w:pPr>
      <w:r w:rsidRPr="00057923">
        <w:rPr>
          <w:rFonts w:ascii="Book Antiqua" w:eastAsia="Times New Roman" w:hAnsi="Book Antiqua" w:cs="Times New Roman"/>
        </w:rPr>
        <w:t xml:space="preserve">Zamestnávatelia majú voči </w:t>
      </w:r>
      <w:proofErr w:type="spellStart"/>
      <w:r w:rsidRPr="00057923">
        <w:rPr>
          <w:rFonts w:ascii="Book Antiqua" w:eastAsia="Times New Roman" w:hAnsi="Book Antiqua" w:cs="Times New Roman"/>
        </w:rPr>
        <w:t>rizikárom</w:t>
      </w:r>
      <w:proofErr w:type="spellEnd"/>
      <w:r w:rsidRPr="00057923">
        <w:rPr>
          <w:rFonts w:ascii="Book Antiqua" w:eastAsia="Times New Roman" w:hAnsi="Book Antiqua" w:cs="Times New Roman"/>
        </w:rPr>
        <w:t xml:space="preserve"> okrem povinnosti v zmysle zákona o DDS aj povinnosti, ktoré vyplývajú zo zákona č. 311/2001 Z. z. </w:t>
      </w:r>
      <w:r w:rsidRPr="00057923">
        <w:rPr>
          <w:rFonts w:ascii="Book Antiqua" w:eastAsia="Times New Roman" w:hAnsi="Book Antiqua" w:cs="Times New Roman"/>
          <w:kern w:val="36"/>
        </w:rPr>
        <w:t>(ďalej len „Zákonník práce“)</w:t>
      </w:r>
      <w:r w:rsidRPr="00057923">
        <w:rPr>
          <w:rFonts w:ascii="Book Antiqua" w:eastAsia="Times New Roman" w:hAnsi="Book Antiqua" w:cs="Times New Roman"/>
        </w:rPr>
        <w:t>, zákona č. 124/2006 Z. z. o bezpečnosti a ochrane zdravia pri práci a o zmene a doplnení niektorých zákonov v znení neskorších predpisov (ďalej len „zákon o BOZP“) alebo z kolektívnych zmlúv.</w:t>
      </w:r>
    </w:p>
    <w:p w:rsidR="00057923" w:rsidRPr="00057923" w:rsidRDefault="00057923" w:rsidP="00057923">
      <w:pPr>
        <w:spacing w:after="0" w:line="276" w:lineRule="auto"/>
        <w:ind w:firstLine="709"/>
        <w:jc w:val="both"/>
        <w:rPr>
          <w:rFonts w:ascii="Book Antiqua" w:eastAsia="Times New Roman" w:hAnsi="Book Antiqua" w:cs="Times New Roman"/>
        </w:rPr>
      </w:pPr>
    </w:p>
    <w:p w:rsidR="00057923" w:rsidRPr="00057923" w:rsidRDefault="00057923" w:rsidP="00057923">
      <w:pPr>
        <w:spacing w:after="120" w:line="276" w:lineRule="auto"/>
        <w:jc w:val="both"/>
        <w:rPr>
          <w:rFonts w:ascii="Book Antiqua" w:eastAsia="Times New Roman" w:hAnsi="Book Antiqua" w:cs="Times New Roman"/>
          <w:b/>
          <w:i/>
          <w:kern w:val="36"/>
        </w:rPr>
      </w:pPr>
      <w:bookmarkStart w:id="8" w:name="_Toc483989831"/>
      <w:r w:rsidRPr="00057923">
        <w:rPr>
          <w:rFonts w:ascii="Book Antiqua" w:eastAsia="Times New Roman" w:hAnsi="Book Antiqua" w:cs="Times New Roman"/>
          <w:b/>
          <w:i/>
          <w:kern w:val="36"/>
        </w:rPr>
        <w:t>4.1.6. Zákonník práce</w:t>
      </w:r>
      <w:bookmarkEnd w:id="8"/>
    </w:p>
    <w:p w:rsidR="00057923" w:rsidRPr="00057923" w:rsidRDefault="00057923" w:rsidP="00057923">
      <w:pPr>
        <w:spacing w:after="120" w:line="276" w:lineRule="auto"/>
        <w:jc w:val="both"/>
        <w:rPr>
          <w:rFonts w:ascii="Book Antiqua" w:eastAsia="Times New Roman" w:hAnsi="Book Antiqua" w:cs="Times New Roman"/>
        </w:rPr>
      </w:pPr>
      <w:r w:rsidRPr="00057923">
        <w:rPr>
          <w:rFonts w:ascii="Book Antiqua" w:eastAsia="Times New Roman" w:hAnsi="Book Antiqua" w:cs="Times New Roman"/>
        </w:rPr>
        <w:t xml:space="preserve">Zo </w:t>
      </w:r>
      <w:r w:rsidRPr="00057923">
        <w:rPr>
          <w:rFonts w:ascii="Book Antiqua" w:eastAsia="Times New Roman" w:hAnsi="Book Antiqua" w:cs="Times New Roman"/>
          <w:b/>
        </w:rPr>
        <w:t>Zákonníka práce</w:t>
      </w:r>
      <w:r w:rsidRPr="00057923">
        <w:rPr>
          <w:rFonts w:ascii="Book Antiqua" w:eastAsia="Times New Roman" w:hAnsi="Book Antiqua" w:cs="Times New Roman"/>
        </w:rPr>
        <w:t xml:space="preserve"> patrí </w:t>
      </w:r>
      <w:proofErr w:type="spellStart"/>
      <w:r w:rsidRPr="00057923">
        <w:rPr>
          <w:rFonts w:ascii="Book Antiqua" w:eastAsia="Times New Roman" w:hAnsi="Book Antiqua" w:cs="Times New Roman"/>
          <w:b/>
        </w:rPr>
        <w:t>rizikárom</w:t>
      </w:r>
      <w:proofErr w:type="spellEnd"/>
      <w:r w:rsidRPr="00057923">
        <w:rPr>
          <w:rFonts w:ascii="Book Antiqua" w:eastAsia="Times New Roman" w:hAnsi="Book Antiqua" w:cs="Times New Roman"/>
        </w:rPr>
        <w:t xml:space="preserve"> z dôvodu výkonu rizikových prác: </w:t>
      </w:r>
    </w:p>
    <w:p w:rsidR="00057923" w:rsidRPr="00057923" w:rsidRDefault="00057923" w:rsidP="00057923">
      <w:pPr>
        <w:numPr>
          <w:ilvl w:val="0"/>
          <w:numId w:val="15"/>
        </w:numPr>
        <w:spacing w:after="240" w:line="276" w:lineRule="auto"/>
        <w:ind w:left="714" w:hanging="357"/>
        <w:contextualSpacing/>
        <w:jc w:val="both"/>
        <w:rPr>
          <w:rFonts w:ascii="Book Antiqua" w:eastAsia="Times New Roman" w:hAnsi="Book Antiqua" w:cs="Times New Roman"/>
        </w:rPr>
      </w:pPr>
      <w:r w:rsidRPr="00057923">
        <w:rPr>
          <w:rFonts w:ascii="Book Antiqua" w:eastAsia="Times New Roman" w:hAnsi="Book Antiqua" w:cs="Times New Roman"/>
        </w:rPr>
        <w:t xml:space="preserve">podľa § 121 odseku 1 za prácu nadčas dosiahnutá mzda a mzdové zvýhodnenie najmenej v sume 35 % jeho priemerného zárobku, čo je o 10 </w:t>
      </w:r>
      <w:proofErr w:type="spellStart"/>
      <w:r w:rsidRPr="00057923">
        <w:rPr>
          <w:rFonts w:ascii="Book Antiqua" w:eastAsia="Times New Roman" w:hAnsi="Book Antiqua" w:cs="Times New Roman"/>
        </w:rPr>
        <w:t>p.b</w:t>
      </w:r>
      <w:proofErr w:type="spellEnd"/>
      <w:r w:rsidRPr="00057923">
        <w:rPr>
          <w:rFonts w:ascii="Book Antiqua" w:eastAsia="Times New Roman" w:hAnsi="Book Antiqua" w:cs="Times New Roman"/>
        </w:rPr>
        <w:t xml:space="preserve">. viac ako v prípade </w:t>
      </w:r>
      <w:proofErr w:type="spellStart"/>
      <w:r w:rsidRPr="00057923">
        <w:rPr>
          <w:rFonts w:ascii="Book Antiqua" w:eastAsia="Times New Roman" w:hAnsi="Book Antiqua" w:cs="Times New Roman"/>
        </w:rPr>
        <w:t>nerizikárov</w:t>
      </w:r>
      <w:proofErr w:type="spellEnd"/>
      <w:r w:rsidRPr="00057923">
        <w:rPr>
          <w:rFonts w:ascii="Book Antiqua" w:eastAsia="Times New Roman" w:hAnsi="Book Antiqua" w:cs="Times New Roman"/>
        </w:rPr>
        <w:t xml:space="preserve">. </w:t>
      </w:r>
      <w:r w:rsidRPr="00057923">
        <w:rPr>
          <w:rFonts w:ascii="Book Antiqua" w:eastAsia="Times New Roman" w:hAnsi="Book Antiqua" w:cs="Times New Roman"/>
          <w:kern w:val="36"/>
        </w:rPr>
        <w:t>(</w:t>
      </w:r>
      <w:r w:rsidRPr="00057923">
        <w:rPr>
          <w:rFonts w:ascii="Book Antiqua" w:eastAsia="Times New Roman" w:hAnsi="Book Antiqua" w:cs="Times New Roman"/>
        </w:rPr>
        <w:t>Sadzbu je možné dohodnúť v kolektívnej zmluve, v pracovnom poriadku alebo upraviť interným predpisom zamestnávateľa.)</w:t>
      </w:r>
    </w:p>
    <w:p w:rsidR="00057923" w:rsidRPr="00057923" w:rsidRDefault="00057923" w:rsidP="00057923">
      <w:pPr>
        <w:spacing w:after="240" w:line="276" w:lineRule="auto"/>
        <w:ind w:left="714"/>
        <w:contextualSpacing/>
        <w:jc w:val="both"/>
        <w:rPr>
          <w:rFonts w:ascii="Book Antiqua" w:eastAsia="Times New Roman" w:hAnsi="Book Antiqua" w:cs="Times New Roman"/>
        </w:rPr>
      </w:pPr>
    </w:p>
    <w:p w:rsidR="00057923" w:rsidRPr="00057923" w:rsidRDefault="00057923" w:rsidP="00057923">
      <w:pPr>
        <w:numPr>
          <w:ilvl w:val="0"/>
          <w:numId w:val="15"/>
        </w:numPr>
        <w:spacing w:after="120" w:line="276" w:lineRule="auto"/>
        <w:contextualSpacing/>
        <w:jc w:val="both"/>
        <w:rPr>
          <w:rFonts w:ascii="Book Antiqua" w:eastAsia="Times New Roman" w:hAnsi="Book Antiqua" w:cs="Times New Roman"/>
        </w:rPr>
      </w:pPr>
      <w:r w:rsidRPr="00057923">
        <w:rPr>
          <w:rFonts w:ascii="Book Antiqua" w:eastAsia="Times New Roman" w:hAnsi="Book Antiqua" w:cs="Times New Roman"/>
        </w:rPr>
        <w:t>podľa § 124 ods. 1 zamestnancovi patrí mzdová kompenzácia za sťažený výkon práce (za každú hodinu práce patrí zamestnancovi popri dosiahnutej mzde mzdová kompenzácia za sťažený výkon práce najmenej 20 % minimálnej mzdy v eurách za hodinu).</w:t>
      </w:r>
      <w:bookmarkStart w:id="9" w:name="_Toc483989832"/>
    </w:p>
    <w:p w:rsidR="00057923" w:rsidRPr="00057923" w:rsidRDefault="00057923" w:rsidP="00057923">
      <w:pPr>
        <w:keepNext/>
        <w:keepLines/>
        <w:spacing w:before="200" w:after="120" w:line="276" w:lineRule="auto"/>
        <w:jc w:val="both"/>
        <w:outlineLvl w:val="1"/>
        <w:rPr>
          <w:rFonts w:ascii="Book Antiqua" w:eastAsiaTheme="minorEastAsia" w:hAnsi="Book Antiqua" w:cs="Times New Roman"/>
          <w:b/>
          <w:bCs/>
          <w:i/>
          <w:smallCaps/>
        </w:rPr>
      </w:pPr>
      <w:r w:rsidRPr="00057923">
        <w:rPr>
          <w:rFonts w:ascii="Book Antiqua" w:eastAsiaTheme="minorEastAsia" w:hAnsi="Book Antiqua" w:cs="Times New Roman"/>
          <w:b/>
          <w:bCs/>
          <w:i/>
        </w:rPr>
        <w:lastRenderedPageBreak/>
        <w:t>4.1.7. Zákon o BOZP</w:t>
      </w:r>
      <w:bookmarkEnd w:id="9"/>
    </w:p>
    <w:p w:rsidR="00057923" w:rsidRPr="00057923" w:rsidRDefault="00057923" w:rsidP="00057923">
      <w:pPr>
        <w:spacing w:after="120" w:line="276" w:lineRule="auto"/>
        <w:jc w:val="both"/>
        <w:rPr>
          <w:rFonts w:ascii="Book Antiqua" w:eastAsia="Times New Roman" w:hAnsi="Book Antiqua" w:cs="Times New Roman"/>
          <w:lang w:eastAsia="sk-SK"/>
        </w:rPr>
      </w:pPr>
      <w:r w:rsidRPr="00057923">
        <w:rPr>
          <w:rFonts w:ascii="Book Antiqua" w:eastAsia="Times New Roman" w:hAnsi="Book Antiqua" w:cs="Times New Roman"/>
          <w:b/>
          <w:lang w:eastAsia="sk-SK"/>
        </w:rPr>
        <w:tab/>
        <w:t xml:space="preserve">Zákon o BOZP </w:t>
      </w:r>
      <w:r w:rsidRPr="00057923">
        <w:rPr>
          <w:rFonts w:ascii="Book Antiqua" w:eastAsia="Times New Roman" w:hAnsi="Book Antiqua" w:cs="Times New Roman"/>
          <w:lang w:eastAsia="sk-SK"/>
        </w:rPr>
        <w:t>v</w:t>
      </w:r>
      <w:r w:rsidRPr="00057923">
        <w:rPr>
          <w:rFonts w:ascii="Book Antiqua" w:eastAsia="Times New Roman" w:hAnsi="Book Antiqua" w:cs="Times New Roman"/>
          <w:b/>
          <w:lang w:eastAsia="sk-SK"/>
        </w:rPr>
        <w:t xml:space="preserve"> § 11</w:t>
      </w:r>
      <w:r w:rsidRPr="00057923">
        <w:rPr>
          <w:rFonts w:ascii="Book Antiqua" w:eastAsia="Times New Roman" w:hAnsi="Book Antiqua" w:cs="Times New Roman"/>
          <w:lang w:eastAsia="sk-SK"/>
        </w:rPr>
        <w:t xml:space="preserve"> upravuje podmienky </w:t>
      </w:r>
      <w:r w:rsidRPr="00057923">
        <w:rPr>
          <w:rFonts w:ascii="Book Antiqua" w:eastAsia="Times New Roman" w:hAnsi="Book Antiqua" w:cs="Times New Roman"/>
          <w:b/>
          <w:lang w:eastAsia="sk-SK"/>
        </w:rPr>
        <w:t>rekondičného pobytu</w:t>
      </w:r>
      <w:r w:rsidRPr="00057923">
        <w:rPr>
          <w:rFonts w:ascii="Book Antiqua" w:eastAsia="Times New Roman" w:hAnsi="Book Antiqua" w:cs="Times New Roman"/>
          <w:lang w:eastAsia="sk-SK"/>
        </w:rPr>
        <w:t xml:space="preserve"> ako jedného z podporných opatrení </w:t>
      </w:r>
      <w:r w:rsidRPr="00057923">
        <w:rPr>
          <w:rFonts w:ascii="Book Antiqua" w:eastAsia="Times New Roman" w:hAnsi="Book Antiqua" w:cs="Times New Roman"/>
          <w:b/>
          <w:lang w:eastAsia="sk-SK"/>
        </w:rPr>
        <w:t>na ochranu a podporu zdravia zamestnancov, v záujme predchádzania vzniku chorôb z povolania.</w:t>
      </w:r>
      <w:r w:rsidRPr="00057923">
        <w:rPr>
          <w:rFonts w:ascii="Book Antiqua" w:eastAsia="Times New Roman" w:hAnsi="Book Antiqua" w:cs="Times New Roman"/>
          <w:lang w:eastAsia="sk-SK"/>
        </w:rPr>
        <w:t xml:space="preserve"> </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V zmysle § 11 zákona o BOZP sa ustanovuje povinnosť zamestnávateľa zabezpečiť rekondičný pobyt a povinnosť zamestnanca, ktorý vykonáva vybrané povolania zúčastňovať sa na rekondičnom pobyte v určených lehotách v súvislosti s výkonom povolania za mimoriadne sťažených pracovných podmienok.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Zamestnávateľ má možnosť vybrať spôsob prevencie, a rozhodnúť sa pre „pobytovú“ formu rekondičného pobytu (uskutočňovanej raz za niekoľko rokov) alebo priebežnú rehabilitáciu v súvislosti s prácou, ktorá je určitou špecifickou formou k už zaužívanej „pobytovej“ forme rekondičného pobytu. </w:t>
      </w:r>
    </w:p>
    <w:p w:rsidR="00057923" w:rsidRPr="00057923" w:rsidRDefault="00057923" w:rsidP="00057923">
      <w:pPr>
        <w:spacing w:after="0" w:line="276" w:lineRule="auto"/>
        <w:ind w:firstLine="709"/>
        <w:jc w:val="both"/>
        <w:rPr>
          <w:rFonts w:ascii="Book Antiqua" w:eastAsia="Times New Roman" w:hAnsi="Book Antiqua" w:cs="Times New Roman"/>
        </w:rPr>
      </w:pPr>
      <w:r w:rsidRPr="00057923">
        <w:rPr>
          <w:rFonts w:ascii="Book Antiqua" w:eastAsia="Times New Roman" w:hAnsi="Book Antiqua" w:cs="Times New Roman"/>
        </w:rPr>
        <w:t xml:space="preserve">Rekondičným pobytom i rehabilitáciou je zamestnancovi poskytovaný  individuálny zdravotný režim na podporu jeho zdravia, </w:t>
      </w:r>
      <w:r w:rsidRPr="00057923">
        <w:rPr>
          <w:rFonts w:ascii="Book Antiqua" w:eastAsia="Times New Roman" w:hAnsi="Book Antiqua" w:cs="Times New Roman"/>
          <w:b/>
        </w:rPr>
        <w:t>na predchádzanie, odstránenie alebo zmiernenie možných negatívnych účinkov pracovných expozícií rôznym faktorom práce a pracovného prostredia</w:t>
      </w:r>
      <w:r w:rsidRPr="00057923">
        <w:rPr>
          <w:rFonts w:ascii="Book Antiqua" w:eastAsia="Times New Roman" w:hAnsi="Book Antiqua" w:cs="Times New Roman"/>
        </w:rPr>
        <w:t xml:space="preserve">. </w:t>
      </w:r>
    </w:p>
    <w:p w:rsidR="00057923" w:rsidRPr="00057923" w:rsidRDefault="00057923" w:rsidP="00057923">
      <w:pPr>
        <w:spacing w:after="200" w:line="276" w:lineRule="auto"/>
        <w:ind w:firstLine="708"/>
        <w:jc w:val="both"/>
        <w:rPr>
          <w:rFonts w:ascii="Book Antiqua" w:eastAsia="Times New Roman" w:hAnsi="Book Antiqua" w:cs="Times New Roman"/>
        </w:rPr>
      </w:pP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 xml:space="preserve">4.2 Analýza dostupných dát o </w:t>
      </w:r>
      <w:proofErr w:type="spellStart"/>
      <w:r w:rsidRPr="00057923">
        <w:rPr>
          <w:rFonts w:ascii="Book Antiqua" w:eastAsia="Times New Roman" w:hAnsi="Book Antiqua" w:cs="Times New Roman"/>
          <w:b/>
          <w:i/>
        </w:rPr>
        <w:t>rizikároch</w:t>
      </w:r>
      <w:proofErr w:type="spellEnd"/>
      <w:r w:rsidRPr="00057923">
        <w:rPr>
          <w:rFonts w:ascii="Book Antiqua" w:eastAsia="Times New Roman" w:hAnsi="Book Antiqua" w:cs="Times New Roman"/>
          <w:b/>
          <w:i/>
        </w:rPr>
        <w:t xml:space="preserve"> </w:t>
      </w:r>
    </w:p>
    <w:p w:rsidR="00057923" w:rsidRPr="00057923" w:rsidRDefault="00057923" w:rsidP="00057923">
      <w:pPr>
        <w:spacing w:after="200" w:line="276" w:lineRule="auto"/>
        <w:ind w:firstLine="709"/>
        <w:contextualSpacing/>
        <w:jc w:val="both"/>
        <w:rPr>
          <w:rFonts w:ascii="Book Antiqua" w:eastAsia="Times New Roman" w:hAnsi="Book Antiqua" w:cs="Times New Roman"/>
        </w:rPr>
      </w:pPr>
      <w:r w:rsidRPr="00057923">
        <w:rPr>
          <w:rFonts w:ascii="Book Antiqua" w:eastAsia="Times New Roman" w:hAnsi="Book Antiqua" w:cs="Times New Roman"/>
        </w:rPr>
        <w:t>MPSVR SR priebežne zbiera a vyhodnocuje dáta od doplnkových dôchodkových spoločností ako aj dáta od Sociálnej poisťovne o poistencoch a poberateľoch dávok a dôchodkov z I. piliera. Tieto dáta sú základom pre nasledujúcu časť analýzy.</w:t>
      </w:r>
    </w:p>
    <w:p w:rsidR="00057923" w:rsidRPr="00057923" w:rsidRDefault="00057923" w:rsidP="00057923">
      <w:pPr>
        <w:spacing w:after="200" w:line="276" w:lineRule="auto"/>
        <w:ind w:firstLine="709"/>
        <w:contextualSpacing/>
        <w:jc w:val="both"/>
        <w:rPr>
          <w:rFonts w:ascii="Book Antiqua" w:eastAsia="Times New Roman" w:hAnsi="Book Antiqua" w:cs="Times New Roman"/>
        </w:rPr>
      </w:pPr>
      <w:r w:rsidRPr="00057923">
        <w:rPr>
          <w:rFonts w:ascii="Book Antiqua" w:eastAsia="Times New Roman" w:hAnsi="Book Antiqua" w:cs="Times New Roman"/>
        </w:rPr>
        <w:t>V čase prípravy podkladov pre kvantitatívnu časť analýzy MPSVR SR nedisponovalo zákonnou právomocou získavať individuálne neanonymizované dáta o účastníkoch DDS a teda nebolo možné ich prepojiť s dátami o vymeriavacích základoch prípadne dátami o čerpaní nemocenského a invalidného dôchodku zo Sociálnej poisťovne.</w:t>
      </w:r>
      <w:r w:rsidRPr="00057923">
        <w:rPr>
          <w:rFonts w:ascii="Book Antiqua" w:eastAsia="Times New Roman" w:hAnsi="Book Antiqua" w:cs="Times New Roman"/>
          <w:vertAlign w:val="superscript"/>
        </w:rPr>
        <w:footnoteReference w:id="16"/>
      </w:r>
      <w:r w:rsidRPr="00057923">
        <w:rPr>
          <w:rFonts w:ascii="Book Antiqua" w:eastAsia="Times New Roman" w:hAnsi="Book Antiqua" w:cs="Times New Roman"/>
        </w:rPr>
        <w:t xml:space="preserve"> Uvedená skutočnosť je veľkým obmedzením analytickej časti kapitoly 4 a znemožňuje vytvorenie podrobnejších záverov. </w:t>
      </w:r>
    </w:p>
    <w:p w:rsidR="00057923" w:rsidRPr="00057923" w:rsidRDefault="00057923" w:rsidP="00057923">
      <w:pPr>
        <w:spacing w:after="200" w:line="276" w:lineRule="auto"/>
        <w:ind w:firstLine="709"/>
        <w:contextualSpacing/>
        <w:jc w:val="both"/>
        <w:rPr>
          <w:rFonts w:ascii="Book Antiqua" w:eastAsia="Times New Roman" w:hAnsi="Book Antiqua" w:cs="Times New Roman"/>
        </w:rPr>
      </w:pPr>
      <w:r w:rsidRPr="00057923">
        <w:rPr>
          <w:rFonts w:ascii="Book Antiqua" w:eastAsia="Times New Roman" w:hAnsi="Book Antiqua" w:cs="Times New Roman"/>
        </w:rPr>
        <w:t>Ďalším z obmedzení je fakt, že ÚVZ SR neeviduje ani nearchivuje rodné čísla zamestnancov vykonávajúcich rizikové práce, ale iba počet rizikových miest na pracovisku.</w:t>
      </w:r>
      <w:r w:rsidRPr="00057923">
        <w:rPr>
          <w:rFonts w:ascii="Book Antiqua" w:eastAsia="Times New Roman" w:hAnsi="Book Antiqua" w:cs="Times New Roman"/>
          <w:vertAlign w:val="superscript"/>
        </w:rPr>
        <w:footnoteReference w:id="17"/>
      </w:r>
      <w:r w:rsidRPr="00057923">
        <w:rPr>
          <w:rFonts w:ascii="Book Antiqua" w:eastAsia="Times New Roman" w:hAnsi="Book Antiqua" w:cs="Times New Roman"/>
        </w:rPr>
        <w:t xml:space="preserve"> Jednoducho povedané, neexistuje zoznam zamestnancov vykonávajúcich rizikové práce. V prípade evidencie a archivácie rodných čísel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by bolo možné zistiť obdobie výkonu rizikových prác jednotlivých zamestnancov. Navyše ani na základe dát od doplnkových dôchodkových spoločností nie je možné určiť presný okruh osôb s nárokom na doplnkový výsluhový dôchodok z III. piliera, keďže povinnosť označovať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v rozpise príspevkov vznikla zamestnávateľom až v roku 2010.</w:t>
      </w:r>
    </w:p>
    <w:p w:rsidR="00057923" w:rsidRPr="00057923" w:rsidRDefault="00057923" w:rsidP="00057923">
      <w:pPr>
        <w:spacing w:after="200" w:line="276" w:lineRule="auto"/>
        <w:ind w:firstLine="709"/>
        <w:contextualSpacing/>
        <w:jc w:val="both"/>
        <w:rPr>
          <w:rFonts w:ascii="Book Antiqua" w:eastAsia="Times New Roman" w:hAnsi="Book Antiqua" w:cs="Times New Roman"/>
        </w:rPr>
      </w:pPr>
      <w:r w:rsidRPr="00057923">
        <w:rPr>
          <w:rFonts w:ascii="Book Antiqua" w:eastAsia="Times New Roman" w:hAnsi="Book Antiqua" w:cs="Times New Roman"/>
        </w:rPr>
        <w:lastRenderedPageBreak/>
        <w:t xml:space="preserve">Z uvedených dôvodov treba závery uvedené v tejto časti analýzy interpretovať v zmysle týchto obmedzení, ktoré budú na niektorých miestach nasledujúcej podkapitoly popísané aj detailnejšie. </w:t>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 xml:space="preserve">4.2.1 Odhad percenta </w:t>
      </w:r>
      <w:proofErr w:type="spellStart"/>
      <w:r w:rsidRPr="00057923">
        <w:rPr>
          <w:rFonts w:ascii="Book Antiqua" w:eastAsia="Times New Roman" w:hAnsi="Book Antiqua" w:cs="Times New Roman"/>
          <w:b/>
          <w:i/>
        </w:rPr>
        <w:t>rizikárov</w:t>
      </w:r>
      <w:proofErr w:type="spellEnd"/>
      <w:r w:rsidRPr="00057923">
        <w:rPr>
          <w:rFonts w:ascii="Book Antiqua" w:eastAsia="Times New Roman" w:hAnsi="Book Antiqua" w:cs="Times New Roman"/>
          <w:b/>
          <w:i/>
        </w:rPr>
        <w:t>, za ktorých zamestnávatelia platia príspevky</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Zo štatistických údajov poskytnutých ÚVZ SR a doplnkovými dôchodkovými spoločnosťami vyplýva, že napriek povinnosti zamestnávateľa prispievať na DDS za zamestnancov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sa v praxi za mnohých z nich neprispieva. Celkový počet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v roku 2016 sa pohyboval na úrovni okolo 100 tisíc</w:t>
      </w:r>
      <w:r w:rsidRPr="00057923">
        <w:rPr>
          <w:rFonts w:ascii="Book Antiqua" w:eastAsia="Times New Roman" w:hAnsi="Book Antiqua" w:cs="Times New Roman"/>
          <w:vertAlign w:val="superscript"/>
        </w:rPr>
        <w:footnoteReference w:id="18"/>
      </w:r>
      <w:r w:rsidRPr="00057923">
        <w:rPr>
          <w:rFonts w:ascii="Book Antiqua" w:eastAsia="Times New Roman" w:hAnsi="Book Antiqua" w:cs="Times New Roman"/>
        </w:rPr>
        <w:t xml:space="preserve">. Z údajov od doplnkových dôchodkových spoločností však vieme, že v danom roku platili zamestnávatelia príspevky na DDS iba za cca 59 tisíc účastníkov, ktorých taktiež označili v rozpise príspevkov ako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 </w:t>
      </w:r>
      <w:proofErr w:type="spellStart"/>
      <w:r w:rsidRPr="00057923">
        <w:rPr>
          <w:rFonts w:ascii="Book Antiqua" w:eastAsia="Times New Roman" w:hAnsi="Book Antiqua" w:cs="Times New Roman"/>
        </w:rPr>
        <w:t>t.j</w:t>
      </w:r>
      <w:proofErr w:type="spellEnd"/>
      <w:r w:rsidRPr="00057923">
        <w:rPr>
          <w:rFonts w:ascii="Book Antiqua" w:eastAsia="Times New Roman" w:hAnsi="Book Antiqua" w:cs="Times New Roman"/>
        </w:rPr>
        <w:t xml:space="preserve">. cca za 59 % zo všetkých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vertAlign w:val="superscript"/>
        </w:rPr>
        <w:footnoteReference w:id="19"/>
      </w:r>
      <w:r w:rsidRPr="00057923">
        <w:rPr>
          <w:rFonts w:ascii="Book Antiqua" w:eastAsia="Times New Roman" w:hAnsi="Book Antiqua" w:cs="Times New Roman"/>
        </w:rPr>
        <w:t>.</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Times New Roman" w:eastAsia="Times New Roman" w:hAnsi="Times New Roman" w:cs="Times New Roman"/>
          <w:sz w:val="24"/>
          <w:szCs w:val="24"/>
          <w:lang w:eastAsia="sk-SK"/>
        </w:rPr>
        <w:t xml:space="preserve"> </w:t>
      </w:r>
      <w:r w:rsidRPr="00057923">
        <w:rPr>
          <w:rFonts w:ascii="Book Antiqua" w:eastAsia="Times New Roman" w:hAnsi="Book Antiqua" w:cs="Times New Roman"/>
        </w:rPr>
        <w:t xml:space="preserve">Na základe kontrolných akcií </w:t>
      </w:r>
      <w:proofErr w:type="spellStart"/>
      <w:r w:rsidRPr="00057923">
        <w:rPr>
          <w:rFonts w:ascii="Book Antiqua" w:eastAsia="Times New Roman" w:hAnsi="Book Antiqua" w:cs="Times New Roman"/>
        </w:rPr>
        <w:t>Škrtič</w:t>
      </w:r>
      <w:proofErr w:type="spellEnd"/>
      <w:r w:rsidRPr="00057923">
        <w:rPr>
          <w:rFonts w:ascii="Book Antiqua" w:eastAsia="Times New Roman" w:hAnsi="Book Antiqua" w:cs="Times New Roman"/>
        </w:rPr>
        <w:t xml:space="preserve"> a praxe v danej oblasti sme identifikovali tri hlavné dôvody, prečo zamestnávatelia za časť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do III. piliera neprispievajú.</w:t>
      </w:r>
    </w:p>
    <w:p w:rsidR="00057923" w:rsidRPr="00057923" w:rsidRDefault="00057923" w:rsidP="00057923">
      <w:pPr>
        <w:spacing w:after="0" w:line="276" w:lineRule="auto"/>
        <w:ind w:left="720"/>
        <w:contextualSpacing/>
        <w:jc w:val="both"/>
        <w:rPr>
          <w:rFonts w:ascii="Times New Roman" w:eastAsia="Times New Roman" w:hAnsi="Times New Roman" w:cs="Times New Roman"/>
          <w:sz w:val="24"/>
          <w:szCs w:val="24"/>
          <w:u w:val="single"/>
          <w:lang w:eastAsia="sk-SK"/>
        </w:rPr>
      </w:pPr>
    </w:p>
    <w:p w:rsidR="00057923" w:rsidRPr="00057923" w:rsidRDefault="00057923" w:rsidP="00057923">
      <w:pPr>
        <w:widowControl w:val="0"/>
        <w:numPr>
          <w:ilvl w:val="0"/>
          <w:numId w:val="27"/>
        </w:numPr>
        <w:tabs>
          <w:tab w:val="left" w:pos="350"/>
        </w:tabs>
        <w:spacing w:after="0" w:line="276" w:lineRule="auto"/>
        <w:jc w:val="both"/>
        <w:rPr>
          <w:rFonts w:ascii="Book Antiqua" w:eastAsia="Times New Roman" w:hAnsi="Book Antiqua" w:cs="Times New Roman"/>
          <w:u w:val="single"/>
        </w:rPr>
      </w:pPr>
      <w:r w:rsidRPr="00057923">
        <w:rPr>
          <w:rFonts w:ascii="Book Antiqua" w:eastAsia="Times New Roman" w:hAnsi="Book Antiqua" w:cs="Times New Roman"/>
          <w:u w:val="single"/>
        </w:rPr>
        <w:t>Zamestnávatelia nemajú uzatvorenú zamestnávateľskú zmluvu.</w:t>
      </w:r>
    </w:p>
    <w:p w:rsidR="00057923" w:rsidRPr="00057923" w:rsidRDefault="00057923" w:rsidP="00057923">
      <w:pPr>
        <w:widowControl w:val="0"/>
        <w:tabs>
          <w:tab w:val="left" w:pos="350"/>
        </w:tabs>
        <w:spacing w:after="0" w:line="276" w:lineRule="auto"/>
        <w:ind w:left="720"/>
        <w:jc w:val="both"/>
        <w:rPr>
          <w:rFonts w:ascii="Book Antiqua" w:eastAsia="Times New Roman" w:hAnsi="Book Antiqua" w:cs="Times New Roman"/>
          <w:u w:val="single"/>
        </w:rPr>
      </w:pPr>
    </w:p>
    <w:p w:rsidR="00057923" w:rsidRPr="00057923" w:rsidRDefault="00057923" w:rsidP="00057923">
      <w:pPr>
        <w:widowControl w:val="0"/>
        <w:tabs>
          <w:tab w:val="left" w:pos="350"/>
        </w:tabs>
        <w:spacing w:after="0" w:line="276" w:lineRule="auto"/>
        <w:ind w:left="720"/>
        <w:jc w:val="both"/>
        <w:rPr>
          <w:rFonts w:ascii="Book Antiqua" w:eastAsia="Times New Roman" w:hAnsi="Book Antiqua" w:cs="Times New Roman"/>
          <w:u w:val="single"/>
        </w:rPr>
      </w:pPr>
      <w:r w:rsidRPr="00057923">
        <w:rPr>
          <w:rFonts w:ascii="Book Antiqua" w:eastAsia="Times New Roman" w:hAnsi="Book Antiqua" w:cs="Times New Roman"/>
        </w:rPr>
        <w:t xml:space="preserve">V tejto skupine sú najviac zastúpení zamestnávatelia, ktorí neuzatvorili zamestnávateľské zmluvy v lehote stanovenej zákonom, t. j. do 30 dní odo dňa, kedy zamestnanec začal vykonávať rizikové práce. V rámci výkonu kontrol, inšpektori práce identifikovali aj zamestnávateľov, ktorí nemali vedomosť o povinnosti uzatvoriť zamestnávateľskú zmluvu s doplnkovou dôchodkovou spoločnosťou. Celkovo ide cca o 15 % kontrolovaných zamestnávateľov v rámci kontrolnej akcie </w:t>
      </w:r>
      <w:proofErr w:type="spellStart"/>
      <w:r w:rsidRPr="00057923">
        <w:rPr>
          <w:rFonts w:ascii="Book Antiqua" w:eastAsia="Times New Roman" w:hAnsi="Book Antiqua" w:cs="Times New Roman"/>
        </w:rPr>
        <w:t>Škrtič</w:t>
      </w:r>
      <w:proofErr w:type="spellEnd"/>
      <w:r w:rsidRPr="00057923">
        <w:rPr>
          <w:rFonts w:ascii="Book Antiqua" w:eastAsia="Times New Roman" w:hAnsi="Book Antiqua" w:cs="Times New Roman"/>
        </w:rPr>
        <w:t xml:space="preserve"> IV.</w:t>
      </w:r>
    </w:p>
    <w:p w:rsidR="00057923" w:rsidRPr="00057923" w:rsidRDefault="00057923" w:rsidP="00057923">
      <w:pPr>
        <w:spacing w:after="0" w:line="276" w:lineRule="auto"/>
        <w:ind w:left="720"/>
        <w:contextualSpacing/>
        <w:jc w:val="both"/>
        <w:rPr>
          <w:rFonts w:ascii="Times New Roman" w:eastAsia="Times New Roman" w:hAnsi="Times New Roman" w:cs="Times New Roman"/>
          <w:sz w:val="24"/>
          <w:szCs w:val="24"/>
          <w:u w:val="single"/>
          <w:lang w:eastAsia="sk-SK"/>
        </w:rPr>
      </w:pPr>
    </w:p>
    <w:p w:rsidR="00057923" w:rsidRPr="00057923" w:rsidRDefault="00057923" w:rsidP="00057923">
      <w:pPr>
        <w:numPr>
          <w:ilvl w:val="0"/>
          <w:numId w:val="27"/>
        </w:numPr>
        <w:spacing w:before="120" w:after="0" w:line="276" w:lineRule="auto"/>
        <w:ind w:left="714" w:hanging="357"/>
        <w:contextualSpacing/>
        <w:jc w:val="both"/>
        <w:rPr>
          <w:rFonts w:ascii="Book Antiqua" w:eastAsia="Times New Roman" w:hAnsi="Book Antiqua" w:cs="Times New Roman"/>
          <w:u w:val="single"/>
        </w:rPr>
      </w:pPr>
      <w:r w:rsidRPr="00057923">
        <w:rPr>
          <w:rFonts w:ascii="Book Antiqua" w:eastAsia="Times New Roman" w:hAnsi="Book Antiqua" w:cs="Times New Roman"/>
          <w:u w:val="single"/>
        </w:rPr>
        <w:t xml:space="preserve">Zamestnávatelia prispievajú </w:t>
      </w:r>
      <w:proofErr w:type="spellStart"/>
      <w:r w:rsidRPr="00057923">
        <w:rPr>
          <w:rFonts w:ascii="Book Antiqua" w:eastAsia="Times New Roman" w:hAnsi="Book Antiqua" w:cs="Times New Roman"/>
          <w:u w:val="single"/>
        </w:rPr>
        <w:t>rizikárom</w:t>
      </w:r>
      <w:proofErr w:type="spellEnd"/>
      <w:r w:rsidRPr="00057923">
        <w:rPr>
          <w:rFonts w:ascii="Book Antiqua" w:eastAsia="Times New Roman" w:hAnsi="Book Antiqua" w:cs="Times New Roman"/>
          <w:u w:val="single"/>
        </w:rPr>
        <w:t>, ale príspevky neoznačia spôsobom, ktorý vyjadruje skutočnosť, že ide práve o príspevky za </w:t>
      </w:r>
      <w:proofErr w:type="spellStart"/>
      <w:r w:rsidRPr="00057923">
        <w:rPr>
          <w:rFonts w:ascii="Book Antiqua" w:eastAsia="Times New Roman" w:hAnsi="Book Antiqua" w:cs="Times New Roman"/>
          <w:u w:val="single"/>
        </w:rPr>
        <w:t>rizikárov</w:t>
      </w:r>
      <w:proofErr w:type="spellEnd"/>
      <w:r w:rsidRPr="00057923">
        <w:rPr>
          <w:rFonts w:ascii="Book Antiqua" w:eastAsia="Times New Roman" w:hAnsi="Book Antiqua" w:cs="Times New Roman"/>
          <w:u w:val="single"/>
        </w:rPr>
        <w:t xml:space="preserve"> v rozpise príspevkov zasielanom doplnkovej dôchodkovej spoločnosti. </w:t>
      </w:r>
    </w:p>
    <w:p w:rsidR="00057923" w:rsidRPr="00057923" w:rsidRDefault="00057923" w:rsidP="00057923">
      <w:pPr>
        <w:spacing w:before="120" w:after="0" w:line="276" w:lineRule="auto"/>
        <w:ind w:left="714"/>
        <w:contextualSpacing/>
        <w:jc w:val="both"/>
        <w:rPr>
          <w:rFonts w:ascii="Book Antiqua" w:eastAsia="Times New Roman" w:hAnsi="Book Antiqua" w:cs="Times New Roman"/>
          <w:u w:val="single"/>
        </w:rPr>
      </w:pPr>
    </w:p>
    <w:p w:rsidR="00057923" w:rsidRPr="00057923" w:rsidRDefault="00057923" w:rsidP="00057923">
      <w:pPr>
        <w:spacing w:before="120" w:after="0" w:line="276" w:lineRule="auto"/>
        <w:ind w:left="720"/>
        <w:contextualSpacing/>
        <w:jc w:val="both"/>
        <w:rPr>
          <w:rFonts w:ascii="Book Antiqua" w:eastAsia="Times New Roman" w:hAnsi="Book Antiqua" w:cs="Times New Roman"/>
        </w:rPr>
      </w:pPr>
      <w:r w:rsidRPr="00057923">
        <w:rPr>
          <w:rFonts w:ascii="Book Antiqua" w:eastAsia="Times New Roman" w:hAnsi="Book Antiqua" w:cs="Times New Roman"/>
        </w:rPr>
        <w:t xml:space="preserve">V prípade nesprávneho označovania príspevkov platených zamestnávateľmi za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síce účastníkovi budú pripísané prostriedky na jeho osobný účet v III. pilieri, ale v prípade záujmu o poberanie doplnkového výsluhového dôchodku bude musieť dodatočne dokladovať výkon rizikových prác, čo môže jeho prístup k tejto dávke sťažiť. Uvedený nedostatok bol v rámci kontrolnej akcie </w:t>
      </w:r>
      <w:proofErr w:type="spellStart"/>
      <w:r w:rsidRPr="00057923">
        <w:rPr>
          <w:rFonts w:ascii="Book Antiqua" w:eastAsia="Times New Roman" w:hAnsi="Book Antiqua" w:cs="Times New Roman"/>
        </w:rPr>
        <w:t>Škrtič</w:t>
      </w:r>
      <w:proofErr w:type="spellEnd"/>
      <w:r w:rsidRPr="00057923">
        <w:rPr>
          <w:rFonts w:ascii="Book Antiqua" w:eastAsia="Times New Roman" w:hAnsi="Book Antiqua" w:cs="Times New Roman"/>
        </w:rPr>
        <w:t xml:space="preserve"> IV zistený cca u 19 % zamestnávateľov. </w:t>
      </w:r>
    </w:p>
    <w:p w:rsidR="00057923" w:rsidRPr="00057923" w:rsidRDefault="00057923" w:rsidP="00057923">
      <w:pPr>
        <w:spacing w:after="0" w:line="276" w:lineRule="auto"/>
        <w:ind w:left="720"/>
        <w:contextualSpacing/>
        <w:jc w:val="both"/>
        <w:rPr>
          <w:rFonts w:ascii="Times New Roman" w:eastAsia="Times New Roman" w:hAnsi="Times New Roman" w:cs="Times New Roman"/>
          <w:sz w:val="24"/>
          <w:szCs w:val="24"/>
          <w:lang w:eastAsia="sk-SK"/>
        </w:rPr>
      </w:pPr>
    </w:p>
    <w:p w:rsidR="00057923" w:rsidRPr="00057923" w:rsidRDefault="00057923" w:rsidP="00057923">
      <w:pPr>
        <w:numPr>
          <w:ilvl w:val="0"/>
          <w:numId w:val="27"/>
        </w:numPr>
        <w:autoSpaceDE w:val="0"/>
        <w:autoSpaceDN w:val="0"/>
        <w:adjustRightInd w:val="0"/>
        <w:spacing w:before="120" w:after="0" w:line="276" w:lineRule="auto"/>
        <w:jc w:val="both"/>
        <w:rPr>
          <w:rFonts w:ascii="Book Antiqua" w:eastAsia="Times New Roman" w:hAnsi="Book Antiqua" w:cs="Times New Roman"/>
          <w:u w:val="single"/>
        </w:rPr>
      </w:pPr>
      <w:r w:rsidRPr="00057923">
        <w:rPr>
          <w:rFonts w:ascii="Book Antiqua" w:eastAsia="Times New Roman" w:hAnsi="Book Antiqua" w:cs="Times New Roman"/>
          <w:u w:val="single"/>
        </w:rPr>
        <w:t>Zamestnávatelia neplatenie príspevkov nevedia ovplyvniť.</w:t>
      </w:r>
    </w:p>
    <w:p w:rsidR="00057923" w:rsidRPr="00057923" w:rsidRDefault="00057923" w:rsidP="00057923">
      <w:pPr>
        <w:autoSpaceDE w:val="0"/>
        <w:autoSpaceDN w:val="0"/>
        <w:adjustRightInd w:val="0"/>
        <w:spacing w:after="0" w:line="276" w:lineRule="auto"/>
        <w:ind w:left="720"/>
        <w:jc w:val="both"/>
        <w:rPr>
          <w:rFonts w:ascii="Book Antiqua" w:eastAsia="Times New Roman" w:hAnsi="Book Antiqua" w:cs="Times New Roman"/>
          <w:u w:val="single"/>
        </w:rPr>
      </w:pPr>
    </w:p>
    <w:p w:rsidR="00057923" w:rsidRPr="00057923" w:rsidRDefault="00057923" w:rsidP="00057923">
      <w:pPr>
        <w:spacing w:after="0" w:line="276" w:lineRule="auto"/>
        <w:ind w:left="720"/>
        <w:contextualSpacing/>
        <w:jc w:val="both"/>
        <w:rPr>
          <w:rFonts w:ascii="Book Antiqua" w:eastAsia="Times New Roman" w:hAnsi="Book Antiqua" w:cs="Times New Roman"/>
        </w:rPr>
      </w:pPr>
      <w:r w:rsidRPr="00057923">
        <w:rPr>
          <w:rFonts w:ascii="Book Antiqua" w:eastAsia="Times New Roman" w:hAnsi="Book Antiqua" w:cs="Times New Roman"/>
        </w:rPr>
        <w:lastRenderedPageBreak/>
        <w:t xml:space="preserve">Zamestnanci napriek informovanosti o povinnosti uzavrieť účastnícku zmluvu neuzavreli účastnícku zmluvu a zamestnávatelia nemohli za takýchto zamestnancov platiť a odvádzať príspevky na DDS. Zamestnávatelia v takomto prípade neporušili žiadne ustanovenie zákona o DDS, nakoľko zrozumiteľne oboznámili svojich zamestnancov o obsahu zamestnávateľskej zmluvy a o ich povinnosti uzavrieť si účastnícke zmluvy. </w:t>
      </w:r>
    </w:p>
    <w:p w:rsidR="00057923" w:rsidRPr="00057923" w:rsidRDefault="00057923" w:rsidP="00057923">
      <w:pPr>
        <w:spacing w:after="0" w:line="276" w:lineRule="auto"/>
        <w:ind w:left="720"/>
        <w:contextualSpacing/>
        <w:jc w:val="both"/>
        <w:rPr>
          <w:rFonts w:ascii="Times New Roman" w:eastAsia="Times New Roman" w:hAnsi="Times New Roman" w:cs="Times New Roman"/>
          <w:sz w:val="24"/>
          <w:szCs w:val="24"/>
          <w:u w:val="single"/>
          <w:lang w:eastAsia="sk-SK"/>
        </w:rPr>
      </w:pPr>
    </w:p>
    <w:p w:rsidR="00057923" w:rsidRPr="00057923" w:rsidRDefault="00057923" w:rsidP="00057923">
      <w:pPr>
        <w:spacing w:after="200" w:line="276" w:lineRule="auto"/>
        <w:ind w:left="720" w:firstLine="696"/>
        <w:contextualSpacing/>
        <w:jc w:val="both"/>
        <w:rPr>
          <w:rFonts w:ascii="Book Antiqua" w:eastAsia="Times New Roman" w:hAnsi="Book Antiqua" w:cs="Times New Roman"/>
        </w:rPr>
      </w:pPr>
      <w:r w:rsidRPr="00057923">
        <w:rPr>
          <w:rFonts w:ascii="Book Antiqua" w:eastAsia="Times New Roman" w:hAnsi="Book Antiqua" w:cs="Times New Roman"/>
        </w:rPr>
        <w:t xml:space="preserve">Z kontrolnej akcie </w:t>
      </w:r>
      <w:proofErr w:type="spellStart"/>
      <w:r w:rsidRPr="00057923">
        <w:rPr>
          <w:rFonts w:ascii="Book Antiqua" w:eastAsia="Times New Roman" w:hAnsi="Book Antiqua" w:cs="Times New Roman"/>
        </w:rPr>
        <w:t>Škrtič</w:t>
      </w:r>
      <w:proofErr w:type="spellEnd"/>
      <w:r w:rsidRPr="00057923">
        <w:rPr>
          <w:rFonts w:ascii="Book Antiqua" w:eastAsia="Times New Roman" w:hAnsi="Book Antiqua" w:cs="Times New Roman"/>
        </w:rPr>
        <w:t xml:space="preserve"> IV vieme taktiež odhadnúť reálne zaplatenú percentuálnu výšku príspevkov za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a to vo výške 2,63 %</w:t>
      </w:r>
      <w:r w:rsidRPr="00057923">
        <w:rPr>
          <w:rFonts w:eastAsia="Times New Roman" w:cs="Times New Roman"/>
          <w:vertAlign w:val="superscript"/>
        </w:rPr>
        <w:footnoteReference w:id="20"/>
      </w:r>
      <w:r w:rsidRPr="00057923">
        <w:rPr>
          <w:rFonts w:ascii="Book Antiqua" w:eastAsia="Times New Roman" w:hAnsi="Book Antiqua" w:cs="Times New Roman"/>
        </w:rPr>
        <w:t xml:space="preserve"> z vymeriavacieho základu týchto zamestnancov.</w:t>
      </w:r>
      <w:r w:rsidRPr="00057923">
        <w:rPr>
          <w:rFonts w:ascii="Book Antiqua" w:eastAsia="Times New Roman" w:hAnsi="Book Antiqua" w:cs="Times New Roman"/>
          <w:vertAlign w:val="superscript"/>
        </w:rPr>
        <w:footnoteReference w:id="21"/>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4.2.2 Počty účastníkov podľa typu účastníckej zmluvy a obdobia výkonu rizikových prác a ich nasporené sumy</w:t>
      </w:r>
    </w:p>
    <w:p w:rsidR="00057923" w:rsidRPr="00057923" w:rsidRDefault="00057923" w:rsidP="00057923">
      <w:pPr>
        <w:spacing w:before="100" w:beforeAutospacing="1" w:after="100" w:afterAutospacing="1"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V nasledujúcej časti sa zameriavame na počty účastníkov, ktorých by sa zmena výplatnej fázy III. piliera mohla dotknúť a na výšku ich nasporených súm.</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Ku koncu roku 2016 malo uzavretú zmluvu s dávkovým plánom  73 % účastníkov III. piliera. V prípade účastníkov, ktorí v roku 2016 mali pripísaný príspevok, označený ako príspevok za </w:t>
      </w:r>
      <w:proofErr w:type="spellStart"/>
      <w:r w:rsidRPr="00057923">
        <w:rPr>
          <w:rFonts w:ascii="Book Antiqua" w:eastAsia="Times New Roman" w:hAnsi="Book Antiqua" w:cs="Times New Roman"/>
        </w:rPr>
        <w:t>rizikára</w:t>
      </w:r>
      <w:proofErr w:type="spellEnd"/>
      <w:r w:rsidRPr="00057923">
        <w:rPr>
          <w:rFonts w:ascii="Book Antiqua" w:eastAsia="Times New Roman" w:hAnsi="Book Antiqua" w:cs="Times New Roman"/>
        </w:rPr>
        <w:t>, malo uzavretú účastnícku zmluvu s dávkovým plánom 61 % z nich. Je treba poznamenať, že účastníkov, ktorí majú uzatvorené zmluvy s dávkovým plánom, sa prípadná zmena podmienok výplatnej fázy v III. pilieri nedotkne v prípade, že budú mať naďalej uzatvorené zmluvy s dávkovým plánom. Na druhej strane môžu títo účastníci kedykoľvek podpísať dodatok k uzatvorenej zmluve a tak prejsť na podmienky výplatnej fázy upravené zákonom o DDS. Predpokladáme, že uvedené by mohlo nastať napríklad v prípade, že by bolo dobrovoľné sporenie v III. pilieri významnejšie daňovo zvýhodnené alebo by bol zavedený štátny príspevok v prípade účastníkov, ktorí majú uzatvorené účastnícke zmluvy bez dávkového plánu.</w:t>
      </w:r>
    </w:p>
    <w:p w:rsidR="00057923" w:rsidRPr="00057923" w:rsidRDefault="00057923" w:rsidP="00057923">
      <w:pPr>
        <w:spacing w:after="120" w:line="276" w:lineRule="auto"/>
        <w:ind w:firstLine="708"/>
        <w:jc w:val="both"/>
        <w:rPr>
          <w:rFonts w:ascii="Book Antiqua" w:eastAsia="Times New Roman" w:hAnsi="Book Antiqua" w:cs="Times New Roman"/>
        </w:rPr>
      </w:pPr>
    </w:p>
    <w:p w:rsidR="00057923" w:rsidRPr="00057923" w:rsidRDefault="00057923" w:rsidP="00057923">
      <w:pPr>
        <w:keepNext/>
        <w:spacing w:after="200" w:line="276" w:lineRule="auto"/>
        <w:jc w:val="both"/>
        <w:rPr>
          <w:rFonts w:ascii="Book Antiqua" w:eastAsia="Times New Roman" w:hAnsi="Book Antiqua" w:cs="Times New Roman"/>
          <w:bCs/>
        </w:rPr>
      </w:pPr>
      <w:r w:rsidRPr="00057923">
        <w:rPr>
          <w:rFonts w:ascii="Book Antiqua" w:eastAsia="Times New Roman" w:hAnsi="Book Antiqua" w:cs="Times New Roman"/>
          <w:b/>
          <w:bCs/>
        </w:rPr>
        <w:t>Tabuľka 14:</w:t>
      </w:r>
      <w:r w:rsidRPr="00057923">
        <w:rPr>
          <w:rFonts w:ascii="Book Antiqua" w:eastAsia="Times New Roman" w:hAnsi="Book Antiqua" w:cs="Times New Roman"/>
          <w:bCs/>
        </w:rPr>
        <w:t xml:space="preserve"> Počet účastníckych zmlúv s dávkovým plánom a bez dávkového plánu ku koncu roku 2016</w:t>
      </w:r>
    </w:p>
    <w:tbl>
      <w:tblPr>
        <w:tblW w:w="5000" w:type="pct"/>
        <w:tblCellMar>
          <w:left w:w="70" w:type="dxa"/>
          <w:right w:w="70" w:type="dxa"/>
        </w:tblCellMar>
        <w:tblLook w:val="04A0" w:firstRow="1" w:lastRow="0" w:firstColumn="1" w:lastColumn="0" w:noHBand="0" w:noVBand="1"/>
      </w:tblPr>
      <w:tblGrid>
        <w:gridCol w:w="1844"/>
        <w:gridCol w:w="1793"/>
        <w:gridCol w:w="1815"/>
        <w:gridCol w:w="1793"/>
        <w:gridCol w:w="1815"/>
      </w:tblGrid>
      <w:tr w:rsidR="00057923" w:rsidRPr="00057923" w:rsidTr="00A62543">
        <w:trPr>
          <w:trHeight w:val="300"/>
        </w:trPr>
        <w:tc>
          <w:tcPr>
            <w:tcW w:w="1018" w:type="pct"/>
            <w:tcBorders>
              <w:top w:val="single" w:sz="4" w:space="0" w:color="auto"/>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 </w:t>
            </w:r>
          </w:p>
        </w:tc>
        <w:tc>
          <w:tcPr>
            <w:tcW w:w="1991" w:type="pct"/>
            <w:gridSpan w:val="2"/>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Times New Roman"/>
                <w:b/>
                <w:color w:val="000000"/>
                <w:lang w:eastAsia="sk-SK"/>
              </w:rPr>
            </w:pPr>
            <w:r w:rsidRPr="00057923">
              <w:rPr>
                <w:rFonts w:ascii="Book Antiqua" w:eastAsia="Times New Roman" w:hAnsi="Book Antiqua" w:cs="Times New Roman"/>
                <w:b/>
                <w:color w:val="000000"/>
                <w:lang w:eastAsia="sk-SK"/>
              </w:rPr>
              <w:t>Zmluvy s dávkovým plánom</w:t>
            </w:r>
          </w:p>
        </w:tc>
        <w:tc>
          <w:tcPr>
            <w:tcW w:w="1991" w:type="pct"/>
            <w:gridSpan w:val="2"/>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Times New Roman"/>
                <w:b/>
                <w:color w:val="000000"/>
                <w:lang w:eastAsia="sk-SK"/>
              </w:rPr>
            </w:pPr>
            <w:r w:rsidRPr="00057923">
              <w:rPr>
                <w:rFonts w:ascii="Book Antiqua" w:eastAsia="Times New Roman" w:hAnsi="Book Antiqua" w:cs="Times New Roman"/>
                <w:b/>
                <w:color w:val="000000"/>
                <w:lang w:eastAsia="sk-SK"/>
              </w:rPr>
              <w:t>Zmluvy bez dávkového plánu</w:t>
            </w:r>
          </w:p>
        </w:tc>
      </w:tr>
      <w:tr w:rsidR="00057923" w:rsidRPr="00057923" w:rsidTr="00A62543">
        <w:trPr>
          <w:trHeight w:val="1029"/>
        </w:trPr>
        <w:tc>
          <w:tcPr>
            <w:tcW w:w="1018"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 </w:t>
            </w:r>
          </w:p>
        </w:tc>
        <w:tc>
          <w:tcPr>
            <w:tcW w:w="989"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b/>
                <w:color w:val="000000"/>
                <w:lang w:eastAsia="sk-SK"/>
              </w:rPr>
            </w:pPr>
            <w:r w:rsidRPr="00057923">
              <w:rPr>
                <w:rFonts w:ascii="Book Antiqua" w:eastAsia="Times New Roman" w:hAnsi="Book Antiqua" w:cs="Times New Roman"/>
                <w:b/>
                <w:color w:val="000000"/>
                <w:lang w:eastAsia="sk-SK"/>
              </w:rPr>
              <w:t xml:space="preserve">S príspevkom za </w:t>
            </w:r>
            <w:proofErr w:type="spellStart"/>
            <w:r w:rsidRPr="00057923">
              <w:rPr>
                <w:rFonts w:ascii="Book Antiqua" w:eastAsia="Times New Roman" w:hAnsi="Book Antiqua" w:cs="Times New Roman"/>
                <w:b/>
                <w:color w:val="000000"/>
                <w:lang w:eastAsia="sk-SK"/>
              </w:rPr>
              <w:t>rizikára</w:t>
            </w:r>
            <w:proofErr w:type="spellEnd"/>
            <w:r w:rsidRPr="00057923">
              <w:rPr>
                <w:rFonts w:ascii="Book Antiqua" w:eastAsia="Times New Roman" w:hAnsi="Book Antiqua" w:cs="Times New Roman"/>
                <w:b/>
                <w:color w:val="000000"/>
                <w:lang w:eastAsia="sk-SK"/>
              </w:rPr>
              <w:t xml:space="preserve"> v roku 2016</w:t>
            </w:r>
          </w:p>
        </w:tc>
        <w:tc>
          <w:tcPr>
            <w:tcW w:w="100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b/>
                <w:color w:val="000000"/>
                <w:lang w:eastAsia="sk-SK"/>
              </w:rPr>
            </w:pPr>
            <w:r w:rsidRPr="00057923">
              <w:rPr>
                <w:rFonts w:ascii="Book Antiqua" w:eastAsia="Times New Roman" w:hAnsi="Book Antiqua" w:cs="Times New Roman"/>
                <w:b/>
                <w:color w:val="000000"/>
                <w:lang w:eastAsia="sk-SK"/>
              </w:rPr>
              <w:t xml:space="preserve">Bez príspevku za </w:t>
            </w:r>
            <w:proofErr w:type="spellStart"/>
            <w:r w:rsidRPr="00057923">
              <w:rPr>
                <w:rFonts w:ascii="Book Antiqua" w:eastAsia="Times New Roman" w:hAnsi="Book Antiqua" w:cs="Times New Roman"/>
                <w:b/>
                <w:color w:val="000000"/>
                <w:lang w:eastAsia="sk-SK"/>
              </w:rPr>
              <w:t>rizikára</w:t>
            </w:r>
            <w:proofErr w:type="spellEnd"/>
            <w:r w:rsidRPr="00057923">
              <w:rPr>
                <w:rFonts w:ascii="Book Antiqua" w:eastAsia="Times New Roman" w:hAnsi="Book Antiqua" w:cs="Times New Roman"/>
                <w:b/>
                <w:color w:val="000000"/>
                <w:lang w:eastAsia="sk-SK"/>
              </w:rPr>
              <w:t xml:space="preserve"> v roku 2016</w:t>
            </w:r>
          </w:p>
        </w:tc>
        <w:tc>
          <w:tcPr>
            <w:tcW w:w="989"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b/>
                <w:color w:val="000000"/>
                <w:lang w:eastAsia="sk-SK"/>
              </w:rPr>
            </w:pPr>
            <w:r w:rsidRPr="00057923">
              <w:rPr>
                <w:rFonts w:ascii="Book Antiqua" w:eastAsia="Times New Roman" w:hAnsi="Book Antiqua" w:cs="Times New Roman"/>
                <w:b/>
                <w:color w:val="000000"/>
                <w:lang w:eastAsia="sk-SK"/>
              </w:rPr>
              <w:t xml:space="preserve">S príspevkom za </w:t>
            </w:r>
            <w:proofErr w:type="spellStart"/>
            <w:r w:rsidRPr="00057923">
              <w:rPr>
                <w:rFonts w:ascii="Book Antiqua" w:eastAsia="Times New Roman" w:hAnsi="Book Antiqua" w:cs="Times New Roman"/>
                <w:b/>
                <w:color w:val="000000"/>
                <w:lang w:eastAsia="sk-SK"/>
              </w:rPr>
              <w:t>rizikára</w:t>
            </w:r>
            <w:proofErr w:type="spellEnd"/>
            <w:r w:rsidRPr="00057923">
              <w:rPr>
                <w:rFonts w:ascii="Book Antiqua" w:eastAsia="Times New Roman" w:hAnsi="Book Antiqua" w:cs="Times New Roman"/>
                <w:b/>
                <w:color w:val="000000"/>
                <w:lang w:eastAsia="sk-SK"/>
              </w:rPr>
              <w:t xml:space="preserve"> v roku 2016</w:t>
            </w:r>
          </w:p>
        </w:tc>
        <w:tc>
          <w:tcPr>
            <w:tcW w:w="100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b/>
                <w:color w:val="000000"/>
                <w:lang w:eastAsia="sk-SK"/>
              </w:rPr>
            </w:pPr>
            <w:r w:rsidRPr="00057923">
              <w:rPr>
                <w:rFonts w:ascii="Book Antiqua" w:eastAsia="Times New Roman" w:hAnsi="Book Antiqua" w:cs="Times New Roman"/>
                <w:b/>
                <w:color w:val="000000"/>
                <w:lang w:eastAsia="sk-SK"/>
              </w:rPr>
              <w:t xml:space="preserve">Bez príspevku za </w:t>
            </w:r>
            <w:proofErr w:type="spellStart"/>
            <w:r w:rsidRPr="00057923">
              <w:rPr>
                <w:rFonts w:ascii="Book Antiqua" w:eastAsia="Times New Roman" w:hAnsi="Book Antiqua" w:cs="Times New Roman"/>
                <w:b/>
                <w:color w:val="000000"/>
                <w:lang w:eastAsia="sk-SK"/>
              </w:rPr>
              <w:t>rizikára</w:t>
            </w:r>
            <w:proofErr w:type="spellEnd"/>
            <w:r w:rsidRPr="00057923">
              <w:rPr>
                <w:rFonts w:ascii="Book Antiqua" w:eastAsia="Times New Roman" w:hAnsi="Book Antiqua" w:cs="Times New Roman"/>
                <w:b/>
                <w:color w:val="000000"/>
                <w:lang w:eastAsia="sk-SK"/>
              </w:rPr>
              <w:t xml:space="preserve"> v roku 2016</w:t>
            </w:r>
          </w:p>
        </w:tc>
      </w:tr>
      <w:tr w:rsidR="00057923" w:rsidRPr="00057923" w:rsidTr="00A62543">
        <w:trPr>
          <w:trHeight w:val="300"/>
        </w:trPr>
        <w:tc>
          <w:tcPr>
            <w:tcW w:w="1018"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Times New Roman"/>
                <w:b/>
                <w:color w:val="000000"/>
                <w:lang w:eastAsia="sk-SK"/>
              </w:rPr>
            </w:pPr>
            <w:r w:rsidRPr="00057923">
              <w:rPr>
                <w:rFonts w:ascii="Book Antiqua" w:eastAsia="Times New Roman" w:hAnsi="Book Antiqua" w:cs="Times New Roman"/>
                <w:b/>
                <w:color w:val="000000"/>
                <w:lang w:eastAsia="sk-SK"/>
              </w:rPr>
              <w:lastRenderedPageBreak/>
              <w:t>Počet nenulových účastníckych zmlúv</w:t>
            </w:r>
          </w:p>
        </w:tc>
        <w:tc>
          <w:tcPr>
            <w:tcW w:w="989"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36 297</w:t>
            </w:r>
          </w:p>
        </w:tc>
        <w:tc>
          <w:tcPr>
            <w:tcW w:w="100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506 070</w:t>
            </w:r>
          </w:p>
        </w:tc>
        <w:tc>
          <w:tcPr>
            <w:tcW w:w="989"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22 891</w:t>
            </w:r>
          </w:p>
        </w:tc>
        <w:tc>
          <w:tcPr>
            <w:tcW w:w="100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color w:val="000000"/>
                <w:lang w:eastAsia="sk-SK"/>
              </w:rPr>
            </w:pPr>
            <w:r w:rsidRPr="00057923">
              <w:rPr>
                <w:rFonts w:ascii="Book Antiqua" w:eastAsia="Times New Roman" w:hAnsi="Book Antiqua" w:cs="Times New Roman"/>
                <w:color w:val="000000"/>
                <w:lang w:eastAsia="sk-SK"/>
              </w:rPr>
              <w:t>183 650</w:t>
            </w:r>
          </w:p>
        </w:tc>
      </w:tr>
    </w:tbl>
    <w:p w:rsidR="00057923" w:rsidRPr="00057923" w:rsidRDefault="00057923" w:rsidP="00057923">
      <w:pPr>
        <w:spacing w:after="200" w:line="276" w:lineRule="auto"/>
        <w:jc w:val="both"/>
        <w:rPr>
          <w:rFonts w:ascii="Times New Roman" w:eastAsia="Times New Roman" w:hAnsi="Times New Roman" w:cs="Times New Roman"/>
          <w:i/>
          <w:sz w:val="24"/>
          <w:szCs w:val="24"/>
        </w:rPr>
      </w:pPr>
      <w:r w:rsidRPr="00057923">
        <w:rPr>
          <w:rFonts w:ascii="Book Antiqua" w:eastAsia="Times New Roman" w:hAnsi="Book Antiqua" w:cs="Times New Roman"/>
          <w:i/>
          <w:sz w:val="20"/>
          <w:szCs w:val="24"/>
        </w:rPr>
        <w:t>Zdroj: doplnkové dôchodkové spoločnosti</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Ako uvádzame vyššie, okrem toho, že účastník III. piliera s uzatvorenou zmluvou bez dávkového plánu na nárok na doplnkový výsluhový dôchodok musí dosiahnuť vek 55 rokov, tento typ dôchodku je určený iba pre osoby, za ktoré platil zamestnávateľ príspevky z dôvodu výkonu rizikovej práce minimálne 10 rokov. Z dôvodu, že zamestnávateľ musí povinne označovať príspevky platené za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až od roku 2010, nie je možné v súčasnej dobe, ale ani v dohľadnej budúcnosti, určiť presný okruh osôb, ktoré budú môcť v čase dovŕšenia veku 55 rokov čerpať doplnkový výsluhový dôchodok z III. piliera. Je totiž možné, že napriek tomu, že niektorým účastníkom III. piliera aktuálne zamestnávateľ platí príspevky na dobrovoľnej báze (teda nie ako za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alebo im príspevky neplatí vôbec, pred rokom 2010 za nich zamestnávateľ platil 10 rokov príspevky ako za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a tak splnili jednu z podmienok na nárok na doplnkový výsluhový dôchodok. </w:t>
      </w:r>
    </w:p>
    <w:p w:rsidR="00057923" w:rsidRPr="00057923" w:rsidRDefault="00057923" w:rsidP="00057923">
      <w:pPr>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Okrem celkového počtu účastníkov, ktorých by sa prípadná zmena podmienok vyplácania doplnkového výsluhového dôchodku dotkla (</w:t>
      </w:r>
      <w:proofErr w:type="spellStart"/>
      <w:r w:rsidRPr="00057923">
        <w:rPr>
          <w:rFonts w:ascii="Book Antiqua" w:eastAsia="Times New Roman" w:hAnsi="Book Antiqua" w:cs="Times New Roman"/>
        </w:rPr>
        <w:t>t.j</w:t>
      </w:r>
      <w:proofErr w:type="spellEnd"/>
      <w:r w:rsidRPr="00057923">
        <w:rPr>
          <w:rFonts w:ascii="Book Antiqua" w:eastAsia="Times New Roman" w:hAnsi="Book Antiqua" w:cs="Times New Roman"/>
        </w:rPr>
        <w:t xml:space="preserve">. všetci účastníci s uzatvorenými zmluvami bez dávkového plánu),  resp. potenciálne týkala v prípade, že by sa vzdali svojich dávkových plánov, sa môžeme pozrieť aj na ich nasporené sumy v III. pilieri a podrobnejšie rozdelenie počtu účastníkov podľa veku v roku 2016. Priemerný vek účastníkov III. piliera je 45 rokov. </w:t>
      </w:r>
      <w:r w:rsidRPr="00057923">
        <w:rPr>
          <w:rFonts w:ascii="Book Antiqua" w:eastAsia="Times New Roman" w:hAnsi="Book Antiqua" w:cs="Times New Roman"/>
          <w:b/>
        </w:rPr>
        <w:t>Priemerná nasporená suma účastníka bola 2 184 eur ku koncu roku 2016.</w:t>
      </w:r>
    </w:p>
    <w:p w:rsidR="00057923" w:rsidRPr="00057923" w:rsidRDefault="00057923" w:rsidP="00057923">
      <w:pPr>
        <w:keepNext/>
        <w:spacing w:after="200" w:line="276" w:lineRule="auto"/>
        <w:jc w:val="both"/>
        <w:rPr>
          <w:rFonts w:ascii="Book Antiqua" w:eastAsia="Times New Roman" w:hAnsi="Book Antiqua" w:cs="Times New Roman"/>
          <w:b/>
          <w:bCs/>
        </w:rPr>
      </w:pPr>
      <w:r w:rsidRPr="00057923">
        <w:rPr>
          <w:rFonts w:ascii="Book Antiqua" w:eastAsia="Times New Roman" w:hAnsi="Book Antiqua" w:cs="Times New Roman"/>
          <w:b/>
          <w:bCs/>
        </w:rPr>
        <w:t xml:space="preserve">Tabuľka 15: </w:t>
      </w:r>
      <w:r w:rsidRPr="00057923">
        <w:rPr>
          <w:rFonts w:ascii="Book Antiqua" w:eastAsia="Times New Roman" w:hAnsi="Book Antiqua" w:cs="Times New Roman"/>
          <w:bCs/>
        </w:rPr>
        <w:t>Počet účastníkov a ich nasporená suma podľa vekových kategórií ku koncu roka 2016</w:t>
      </w:r>
    </w:p>
    <w:tbl>
      <w:tblPr>
        <w:tblW w:w="5000" w:type="pct"/>
        <w:tblLayout w:type="fixed"/>
        <w:tblCellMar>
          <w:left w:w="70" w:type="dxa"/>
          <w:right w:w="70" w:type="dxa"/>
        </w:tblCellMar>
        <w:tblLook w:val="04A0" w:firstRow="1" w:lastRow="0" w:firstColumn="1" w:lastColumn="0" w:noHBand="0" w:noVBand="1"/>
      </w:tblPr>
      <w:tblGrid>
        <w:gridCol w:w="906"/>
        <w:gridCol w:w="1952"/>
        <w:gridCol w:w="3486"/>
        <w:gridCol w:w="2716"/>
      </w:tblGrid>
      <w:tr w:rsidR="00057923" w:rsidRPr="00057923" w:rsidTr="00A62543">
        <w:trPr>
          <w:trHeight w:val="255"/>
        </w:trPr>
        <w:tc>
          <w:tcPr>
            <w:tcW w:w="500" w:type="pct"/>
            <w:tcBorders>
              <w:top w:val="single" w:sz="4" w:space="0" w:color="auto"/>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Vek</w:t>
            </w:r>
          </w:p>
        </w:tc>
        <w:tc>
          <w:tcPr>
            <w:tcW w:w="1077" w:type="pct"/>
            <w:tcBorders>
              <w:top w:val="single" w:sz="4" w:space="0" w:color="auto"/>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Počet účastníkov</w:t>
            </w:r>
          </w:p>
        </w:tc>
        <w:tc>
          <w:tcPr>
            <w:tcW w:w="1924" w:type="pct"/>
            <w:tcBorders>
              <w:top w:val="single" w:sz="4" w:space="0" w:color="auto"/>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Celková nasporená suma účastníkov v danej vekovej kategórií</w:t>
            </w:r>
          </w:p>
        </w:tc>
        <w:tc>
          <w:tcPr>
            <w:tcW w:w="1499" w:type="pct"/>
            <w:tcBorders>
              <w:top w:val="single" w:sz="4" w:space="0" w:color="auto"/>
              <w:left w:val="nil"/>
              <w:bottom w:val="single" w:sz="4" w:space="0" w:color="auto"/>
              <w:right w:val="single" w:sz="4" w:space="0" w:color="auto"/>
            </w:tcBorders>
            <w:vAlign w:val="center"/>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Priemerná nasporená suma na jedného účastníka</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15 - 19</w:t>
            </w:r>
          </w:p>
        </w:tc>
        <w:tc>
          <w:tcPr>
            <w:tcW w:w="107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594</w:t>
            </w:r>
          </w:p>
        </w:tc>
        <w:tc>
          <w:tcPr>
            <w:tcW w:w="1924"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35 166,49 €</w:t>
            </w:r>
          </w:p>
        </w:tc>
        <w:tc>
          <w:tcPr>
            <w:tcW w:w="1499" w:type="pct"/>
            <w:tcBorders>
              <w:top w:val="nil"/>
              <w:left w:val="nil"/>
              <w:bottom w:val="single" w:sz="4" w:space="0" w:color="auto"/>
              <w:right w:val="single" w:sz="4" w:space="0" w:color="auto"/>
            </w:tcBorders>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59,20 €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20 - 24</w:t>
            </w:r>
          </w:p>
        </w:tc>
        <w:tc>
          <w:tcPr>
            <w:tcW w:w="107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13 495</w:t>
            </w:r>
          </w:p>
        </w:tc>
        <w:tc>
          <w:tcPr>
            <w:tcW w:w="1924"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4 195 814,05 €</w:t>
            </w:r>
          </w:p>
        </w:tc>
        <w:tc>
          <w:tcPr>
            <w:tcW w:w="1499" w:type="pct"/>
            <w:tcBorders>
              <w:top w:val="nil"/>
              <w:left w:val="nil"/>
              <w:bottom w:val="single" w:sz="4" w:space="0" w:color="auto"/>
              <w:right w:val="single" w:sz="4" w:space="0" w:color="auto"/>
            </w:tcBorders>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310,92 €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25 - 29</w:t>
            </w:r>
          </w:p>
        </w:tc>
        <w:tc>
          <w:tcPr>
            <w:tcW w:w="107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41 671</w:t>
            </w:r>
          </w:p>
        </w:tc>
        <w:tc>
          <w:tcPr>
            <w:tcW w:w="1924"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27 661 676,80 €</w:t>
            </w:r>
          </w:p>
        </w:tc>
        <w:tc>
          <w:tcPr>
            <w:tcW w:w="1499" w:type="pct"/>
            <w:tcBorders>
              <w:top w:val="nil"/>
              <w:left w:val="nil"/>
              <w:bottom w:val="single" w:sz="4" w:space="0" w:color="auto"/>
              <w:right w:val="single" w:sz="4" w:space="0" w:color="auto"/>
            </w:tcBorders>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663,81 €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30 - 34</w:t>
            </w:r>
          </w:p>
        </w:tc>
        <w:tc>
          <w:tcPr>
            <w:tcW w:w="107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76 004</w:t>
            </w:r>
          </w:p>
        </w:tc>
        <w:tc>
          <w:tcPr>
            <w:tcW w:w="1924"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90 063 305,99 €</w:t>
            </w:r>
          </w:p>
        </w:tc>
        <w:tc>
          <w:tcPr>
            <w:tcW w:w="1499" w:type="pct"/>
            <w:tcBorders>
              <w:top w:val="nil"/>
              <w:left w:val="nil"/>
              <w:bottom w:val="single" w:sz="4" w:space="0" w:color="auto"/>
              <w:right w:val="single" w:sz="4" w:space="0" w:color="auto"/>
            </w:tcBorders>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1 184,98 €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35 - 39</w:t>
            </w:r>
          </w:p>
        </w:tc>
        <w:tc>
          <w:tcPr>
            <w:tcW w:w="107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105 179</w:t>
            </w:r>
          </w:p>
        </w:tc>
        <w:tc>
          <w:tcPr>
            <w:tcW w:w="1924"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182 630 814,88 €</w:t>
            </w:r>
          </w:p>
        </w:tc>
        <w:tc>
          <w:tcPr>
            <w:tcW w:w="1499" w:type="pct"/>
            <w:tcBorders>
              <w:top w:val="nil"/>
              <w:left w:val="nil"/>
              <w:bottom w:val="single" w:sz="4" w:space="0" w:color="auto"/>
              <w:right w:val="single" w:sz="4" w:space="0" w:color="auto"/>
            </w:tcBorders>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1 736,38 €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40 - 44</w:t>
            </w:r>
          </w:p>
        </w:tc>
        <w:tc>
          <w:tcPr>
            <w:tcW w:w="107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120 801</w:t>
            </w:r>
          </w:p>
        </w:tc>
        <w:tc>
          <w:tcPr>
            <w:tcW w:w="1924"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272 505 881,94 €</w:t>
            </w:r>
          </w:p>
        </w:tc>
        <w:tc>
          <w:tcPr>
            <w:tcW w:w="1499" w:type="pct"/>
            <w:tcBorders>
              <w:top w:val="nil"/>
              <w:left w:val="nil"/>
              <w:bottom w:val="single" w:sz="4" w:space="0" w:color="auto"/>
              <w:right w:val="single" w:sz="4" w:space="0" w:color="auto"/>
            </w:tcBorders>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2 255,82 €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45 - 49</w:t>
            </w:r>
          </w:p>
        </w:tc>
        <w:tc>
          <w:tcPr>
            <w:tcW w:w="107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109 841</w:t>
            </w:r>
          </w:p>
        </w:tc>
        <w:tc>
          <w:tcPr>
            <w:tcW w:w="1924"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294 865 055,34 €</w:t>
            </w:r>
          </w:p>
        </w:tc>
        <w:tc>
          <w:tcPr>
            <w:tcW w:w="1499" w:type="pct"/>
            <w:tcBorders>
              <w:top w:val="nil"/>
              <w:left w:val="nil"/>
              <w:bottom w:val="single" w:sz="4" w:space="0" w:color="auto"/>
              <w:right w:val="single" w:sz="4" w:space="0" w:color="auto"/>
            </w:tcBorders>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2 684,47 €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50 - 54</w:t>
            </w:r>
          </w:p>
        </w:tc>
        <w:tc>
          <w:tcPr>
            <w:tcW w:w="107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115 644</w:t>
            </w:r>
          </w:p>
        </w:tc>
        <w:tc>
          <w:tcPr>
            <w:tcW w:w="1924"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282 692 012,22 €</w:t>
            </w:r>
          </w:p>
        </w:tc>
        <w:tc>
          <w:tcPr>
            <w:tcW w:w="1499" w:type="pct"/>
            <w:tcBorders>
              <w:top w:val="nil"/>
              <w:left w:val="nil"/>
              <w:bottom w:val="single" w:sz="4" w:space="0" w:color="auto"/>
              <w:right w:val="single" w:sz="4" w:space="0" w:color="auto"/>
            </w:tcBorders>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2 444,50 €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55 - 59</w:t>
            </w:r>
          </w:p>
        </w:tc>
        <w:tc>
          <w:tcPr>
            <w:tcW w:w="107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105 745</w:t>
            </w:r>
          </w:p>
        </w:tc>
        <w:tc>
          <w:tcPr>
            <w:tcW w:w="1924"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293 589 180,57 €</w:t>
            </w:r>
          </w:p>
        </w:tc>
        <w:tc>
          <w:tcPr>
            <w:tcW w:w="1499" w:type="pct"/>
            <w:tcBorders>
              <w:top w:val="nil"/>
              <w:left w:val="nil"/>
              <w:bottom w:val="single" w:sz="4" w:space="0" w:color="auto"/>
              <w:right w:val="single" w:sz="4" w:space="0" w:color="auto"/>
            </w:tcBorders>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2 776,39 €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60 - 64</w:t>
            </w:r>
          </w:p>
        </w:tc>
        <w:tc>
          <w:tcPr>
            <w:tcW w:w="107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52 481</w:t>
            </w:r>
          </w:p>
        </w:tc>
        <w:tc>
          <w:tcPr>
            <w:tcW w:w="1924"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163 277 865,79 €</w:t>
            </w:r>
          </w:p>
        </w:tc>
        <w:tc>
          <w:tcPr>
            <w:tcW w:w="1499" w:type="pct"/>
            <w:tcBorders>
              <w:top w:val="nil"/>
              <w:left w:val="nil"/>
              <w:bottom w:val="single" w:sz="4" w:space="0" w:color="auto"/>
              <w:right w:val="single" w:sz="4" w:space="0" w:color="auto"/>
            </w:tcBorders>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3 111,18 €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 xml:space="preserve">65 + </w:t>
            </w:r>
          </w:p>
        </w:tc>
        <w:tc>
          <w:tcPr>
            <w:tcW w:w="107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7 453</w:t>
            </w:r>
          </w:p>
        </w:tc>
        <w:tc>
          <w:tcPr>
            <w:tcW w:w="1924"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24 106 348,40 €</w:t>
            </w:r>
          </w:p>
        </w:tc>
        <w:tc>
          <w:tcPr>
            <w:tcW w:w="1499" w:type="pct"/>
            <w:tcBorders>
              <w:top w:val="nil"/>
              <w:left w:val="nil"/>
              <w:bottom w:val="single" w:sz="4" w:space="0" w:color="auto"/>
              <w:right w:val="single" w:sz="4" w:space="0" w:color="auto"/>
            </w:tcBorders>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3 234,45 €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SPOLU</w:t>
            </w:r>
          </w:p>
        </w:tc>
        <w:tc>
          <w:tcPr>
            <w:tcW w:w="107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748 908</w:t>
            </w:r>
          </w:p>
        </w:tc>
        <w:tc>
          <w:tcPr>
            <w:tcW w:w="1924"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1 635 623 122,47 €</w:t>
            </w:r>
          </w:p>
        </w:tc>
        <w:tc>
          <w:tcPr>
            <w:tcW w:w="1499" w:type="pct"/>
            <w:tcBorders>
              <w:top w:val="nil"/>
              <w:left w:val="nil"/>
              <w:bottom w:val="single" w:sz="4" w:space="0" w:color="auto"/>
              <w:right w:val="single" w:sz="4" w:space="0" w:color="auto"/>
            </w:tcBorders>
            <w:vAlign w:val="bottom"/>
          </w:tcPr>
          <w:p w:rsidR="00057923" w:rsidRPr="00057923" w:rsidRDefault="00057923" w:rsidP="00057923">
            <w:pPr>
              <w:spacing w:after="0" w:line="276" w:lineRule="auto"/>
              <w:jc w:val="right"/>
              <w:rPr>
                <w:rFonts w:ascii="Book Antiqua" w:eastAsia="Times New Roman" w:hAnsi="Book Antiqua" w:cs="Arial"/>
                <w:b/>
                <w:sz w:val="20"/>
                <w:szCs w:val="20"/>
                <w:lang w:eastAsia="sk-SK"/>
              </w:rPr>
            </w:pPr>
            <w:r w:rsidRPr="00057923">
              <w:rPr>
                <w:rFonts w:ascii="Book Antiqua" w:eastAsia="Times New Roman" w:hAnsi="Book Antiqua" w:cs="Arial"/>
                <w:b/>
                <w:sz w:val="20"/>
                <w:szCs w:val="20"/>
              </w:rPr>
              <w:t>2 184,01 €</w:t>
            </w:r>
          </w:p>
        </w:tc>
      </w:tr>
    </w:tbl>
    <w:p w:rsidR="00057923" w:rsidRPr="00057923" w:rsidRDefault="00057923" w:rsidP="00057923">
      <w:pPr>
        <w:spacing w:after="200" w:line="276" w:lineRule="auto"/>
        <w:jc w:val="both"/>
        <w:rPr>
          <w:rFonts w:ascii="Times New Roman" w:eastAsia="Times New Roman" w:hAnsi="Times New Roman" w:cs="Times New Roman"/>
          <w:i/>
          <w:sz w:val="24"/>
          <w:szCs w:val="24"/>
        </w:rPr>
      </w:pPr>
      <w:r w:rsidRPr="00057923">
        <w:rPr>
          <w:rFonts w:ascii="Book Antiqua" w:eastAsia="Times New Roman" w:hAnsi="Book Antiqua" w:cs="Times New Roman"/>
          <w:i/>
          <w:sz w:val="20"/>
          <w:szCs w:val="24"/>
        </w:rPr>
        <w:t>Zdroj: doplnkové dôchodkové spoločnosti</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Priemerný vek ako aj priemerná nasporená suma sa líši v závislosti od toho, akú má účastník uzatvorenú účastnícku zmluvu (s alebo bez dávkového plánu) aj v závislosti od toho, či mu bolo v roku 2016 prispievané ako za </w:t>
      </w:r>
      <w:proofErr w:type="spellStart"/>
      <w:r w:rsidRPr="00057923">
        <w:rPr>
          <w:rFonts w:ascii="Book Antiqua" w:eastAsia="Times New Roman" w:hAnsi="Book Antiqua" w:cs="Times New Roman"/>
        </w:rPr>
        <w:t>rizikára</w:t>
      </w:r>
      <w:proofErr w:type="spellEnd"/>
      <w:r w:rsidRPr="00057923">
        <w:rPr>
          <w:rFonts w:ascii="Book Antiqua" w:eastAsia="Times New Roman" w:hAnsi="Book Antiqua" w:cs="Times New Roman"/>
        </w:rPr>
        <w:t xml:space="preserve"> alebo nie.</w:t>
      </w:r>
    </w:p>
    <w:p w:rsidR="00057923" w:rsidRPr="00057923" w:rsidRDefault="00057923" w:rsidP="00057923">
      <w:pPr>
        <w:keepNext/>
        <w:spacing w:after="200" w:line="276" w:lineRule="auto"/>
        <w:jc w:val="both"/>
        <w:rPr>
          <w:rFonts w:ascii="Book Antiqua" w:eastAsia="Times New Roman" w:hAnsi="Book Antiqua" w:cs="Times New Roman"/>
          <w:bCs/>
        </w:rPr>
      </w:pPr>
      <w:r w:rsidRPr="00057923">
        <w:rPr>
          <w:rFonts w:ascii="Book Antiqua" w:eastAsia="Times New Roman" w:hAnsi="Book Antiqua" w:cs="Times New Roman"/>
          <w:b/>
          <w:bCs/>
        </w:rPr>
        <w:lastRenderedPageBreak/>
        <w:t>Tabuľka 16:</w:t>
      </w:r>
      <w:r w:rsidRPr="00057923">
        <w:rPr>
          <w:rFonts w:ascii="Book Antiqua" w:eastAsia="Times New Roman" w:hAnsi="Book Antiqua" w:cs="Times New Roman"/>
          <w:bCs/>
        </w:rPr>
        <w:t xml:space="preserve"> Priemerný vek a nasporená suma podľa jednotlivých skupín účastníkov III. piliera v roku 2016</w:t>
      </w:r>
    </w:p>
    <w:tbl>
      <w:tblPr>
        <w:tblW w:w="5000" w:type="pct"/>
        <w:tblLayout w:type="fixed"/>
        <w:tblCellMar>
          <w:left w:w="70" w:type="dxa"/>
          <w:right w:w="70" w:type="dxa"/>
        </w:tblCellMar>
        <w:tblLook w:val="04A0" w:firstRow="1" w:lastRow="0" w:firstColumn="1" w:lastColumn="0" w:noHBand="0" w:noVBand="1"/>
      </w:tblPr>
      <w:tblGrid>
        <w:gridCol w:w="1183"/>
        <w:gridCol w:w="1952"/>
        <w:gridCol w:w="1953"/>
        <w:gridCol w:w="1952"/>
        <w:gridCol w:w="2020"/>
      </w:tblGrid>
      <w:tr w:rsidR="00057923" w:rsidRPr="00057923" w:rsidTr="00A62543">
        <w:trPr>
          <w:trHeight w:val="300"/>
        </w:trPr>
        <w:tc>
          <w:tcPr>
            <w:tcW w:w="653" w:type="pct"/>
            <w:tcBorders>
              <w:top w:val="single" w:sz="4" w:space="0" w:color="auto"/>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 </w:t>
            </w:r>
          </w:p>
        </w:tc>
        <w:tc>
          <w:tcPr>
            <w:tcW w:w="2155" w:type="pct"/>
            <w:gridSpan w:val="2"/>
            <w:tcBorders>
              <w:top w:val="single" w:sz="4" w:space="0" w:color="auto"/>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Zmluvy s dávkovým plánom</w:t>
            </w:r>
          </w:p>
        </w:tc>
        <w:tc>
          <w:tcPr>
            <w:tcW w:w="2192" w:type="pct"/>
            <w:gridSpan w:val="2"/>
            <w:tcBorders>
              <w:top w:val="single" w:sz="4" w:space="0" w:color="auto"/>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Zmluvy bez dávkového plánu</w:t>
            </w:r>
          </w:p>
        </w:tc>
      </w:tr>
      <w:tr w:rsidR="00057923" w:rsidRPr="00057923" w:rsidTr="00A62543">
        <w:trPr>
          <w:trHeight w:val="593"/>
        </w:trPr>
        <w:tc>
          <w:tcPr>
            <w:tcW w:w="653"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 </w:t>
            </w:r>
          </w:p>
        </w:tc>
        <w:tc>
          <w:tcPr>
            <w:tcW w:w="1077"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 xml:space="preserve">S príspevkom za </w:t>
            </w:r>
            <w:proofErr w:type="spellStart"/>
            <w:r w:rsidRPr="00057923">
              <w:rPr>
                <w:rFonts w:ascii="Book Antiqua" w:eastAsia="Times New Roman" w:hAnsi="Book Antiqua" w:cs="Times New Roman"/>
                <w:b/>
                <w:color w:val="000000"/>
                <w:sz w:val="20"/>
                <w:szCs w:val="20"/>
                <w:lang w:eastAsia="sk-SK"/>
              </w:rPr>
              <w:t>rizikára</w:t>
            </w:r>
            <w:proofErr w:type="spellEnd"/>
            <w:r w:rsidRPr="00057923">
              <w:rPr>
                <w:rFonts w:ascii="Book Antiqua" w:eastAsia="Times New Roman" w:hAnsi="Book Antiqua" w:cs="Times New Roman"/>
                <w:b/>
                <w:color w:val="000000"/>
                <w:sz w:val="20"/>
                <w:szCs w:val="20"/>
                <w:lang w:eastAsia="sk-SK"/>
              </w:rPr>
              <w:t xml:space="preserve"> </w:t>
            </w:r>
          </w:p>
        </w:tc>
        <w:tc>
          <w:tcPr>
            <w:tcW w:w="107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 xml:space="preserve">Bez príspevku za </w:t>
            </w:r>
            <w:proofErr w:type="spellStart"/>
            <w:r w:rsidRPr="00057923">
              <w:rPr>
                <w:rFonts w:ascii="Book Antiqua" w:eastAsia="Times New Roman" w:hAnsi="Book Antiqua" w:cs="Times New Roman"/>
                <w:b/>
                <w:color w:val="000000"/>
                <w:sz w:val="20"/>
                <w:szCs w:val="20"/>
                <w:lang w:eastAsia="sk-SK"/>
              </w:rPr>
              <w:t>rizikára</w:t>
            </w:r>
            <w:proofErr w:type="spellEnd"/>
            <w:r w:rsidRPr="00057923">
              <w:rPr>
                <w:rFonts w:ascii="Book Antiqua" w:eastAsia="Times New Roman" w:hAnsi="Book Antiqua" w:cs="Times New Roman"/>
                <w:b/>
                <w:color w:val="000000"/>
                <w:sz w:val="20"/>
                <w:szCs w:val="20"/>
                <w:lang w:eastAsia="sk-SK"/>
              </w:rPr>
              <w:t xml:space="preserve"> </w:t>
            </w:r>
          </w:p>
        </w:tc>
        <w:tc>
          <w:tcPr>
            <w:tcW w:w="1077"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 xml:space="preserve">S príspevkom za </w:t>
            </w:r>
            <w:proofErr w:type="spellStart"/>
            <w:r w:rsidRPr="00057923">
              <w:rPr>
                <w:rFonts w:ascii="Book Antiqua" w:eastAsia="Times New Roman" w:hAnsi="Book Antiqua" w:cs="Times New Roman"/>
                <w:b/>
                <w:color w:val="000000"/>
                <w:sz w:val="20"/>
                <w:szCs w:val="20"/>
                <w:lang w:eastAsia="sk-SK"/>
              </w:rPr>
              <w:t>rizikára</w:t>
            </w:r>
            <w:proofErr w:type="spellEnd"/>
            <w:r w:rsidRPr="00057923">
              <w:rPr>
                <w:rFonts w:ascii="Book Antiqua" w:eastAsia="Times New Roman" w:hAnsi="Book Antiqua" w:cs="Times New Roman"/>
                <w:b/>
                <w:color w:val="000000"/>
                <w:sz w:val="20"/>
                <w:szCs w:val="20"/>
                <w:lang w:eastAsia="sk-SK"/>
              </w:rPr>
              <w:t xml:space="preserve"> </w:t>
            </w:r>
          </w:p>
        </w:tc>
        <w:tc>
          <w:tcPr>
            <w:tcW w:w="1115"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 xml:space="preserve">Bez príspevku za </w:t>
            </w:r>
            <w:proofErr w:type="spellStart"/>
            <w:r w:rsidRPr="00057923">
              <w:rPr>
                <w:rFonts w:ascii="Book Antiqua" w:eastAsia="Times New Roman" w:hAnsi="Book Antiqua" w:cs="Times New Roman"/>
                <w:b/>
                <w:color w:val="000000"/>
                <w:sz w:val="20"/>
                <w:szCs w:val="20"/>
                <w:lang w:eastAsia="sk-SK"/>
              </w:rPr>
              <w:t>rizikára</w:t>
            </w:r>
            <w:proofErr w:type="spellEnd"/>
            <w:r w:rsidRPr="00057923">
              <w:rPr>
                <w:rFonts w:ascii="Book Antiqua" w:eastAsia="Times New Roman" w:hAnsi="Book Antiqua" w:cs="Times New Roman"/>
                <w:b/>
                <w:color w:val="000000"/>
                <w:sz w:val="20"/>
                <w:szCs w:val="20"/>
                <w:lang w:eastAsia="sk-SK"/>
              </w:rPr>
              <w:t xml:space="preserve"> </w:t>
            </w:r>
          </w:p>
        </w:tc>
      </w:tr>
      <w:tr w:rsidR="00057923" w:rsidRPr="00057923" w:rsidTr="00A62543">
        <w:trPr>
          <w:trHeight w:val="300"/>
        </w:trPr>
        <w:tc>
          <w:tcPr>
            <w:tcW w:w="653"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Priemerný vek</w:t>
            </w:r>
          </w:p>
        </w:tc>
        <w:tc>
          <w:tcPr>
            <w:tcW w:w="1077" w:type="pct"/>
            <w:tcBorders>
              <w:top w:val="nil"/>
              <w:left w:val="nil"/>
              <w:bottom w:val="single" w:sz="4" w:space="0" w:color="auto"/>
              <w:right w:val="single" w:sz="4" w:space="0" w:color="auto"/>
            </w:tcBorders>
            <w:noWrap/>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45,6</w:t>
            </w:r>
          </w:p>
        </w:tc>
        <w:tc>
          <w:tcPr>
            <w:tcW w:w="1078" w:type="pct"/>
            <w:tcBorders>
              <w:top w:val="nil"/>
              <w:left w:val="nil"/>
              <w:bottom w:val="single" w:sz="4" w:space="0" w:color="auto"/>
              <w:right w:val="single" w:sz="4" w:space="0" w:color="auto"/>
            </w:tcBorders>
            <w:noWrap/>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46,3</w:t>
            </w:r>
          </w:p>
        </w:tc>
        <w:tc>
          <w:tcPr>
            <w:tcW w:w="1077" w:type="pct"/>
            <w:tcBorders>
              <w:top w:val="nil"/>
              <w:left w:val="nil"/>
              <w:bottom w:val="single" w:sz="4" w:space="0" w:color="auto"/>
              <w:right w:val="single" w:sz="4" w:space="0" w:color="auto"/>
            </w:tcBorders>
            <w:noWrap/>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42,4</w:t>
            </w:r>
          </w:p>
        </w:tc>
        <w:tc>
          <w:tcPr>
            <w:tcW w:w="1115" w:type="pct"/>
            <w:tcBorders>
              <w:top w:val="nil"/>
              <w:left w:val="nil"/>
              <w:bottom w:val="single" w:sz="4" w:space="0" w:color="auto"/>
              <w:right w:val="single" w:sz="4" w:space="0" w:color="auto"/>
            </w:tcBorders>
            <w:noWrap/>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40,0</w:t>
            </w:r>
          </w:p>
        </w:tc>
      </w:tr>
      <w:tr w:rsidR="00057923" w:rsidRPr="00057923" w:rsidTr="00A62543">
        <w:trPr>
          <w:trHeight w:val="300"/>
        </w:trPr>
        <w:tc>
          <w:tcPr>
            <w:tcW w:w="653" w:type="pct"/>
            <w:tcBorders>
              <w:top w:val="single" w:sz="4" w:space="0" w:color="auto"/>
              <w:left w:val="single" w:sz="4" w:space="0" w:color="auto"/>
              <w:bottom w:val="single" w:sz="4" w:space="0" w:color="auto"/>
              <w:right w:val="single" w:sz="4" w:space="0" w:color="auto"/>
            </w:tcBorders>
            <w:noWrap/>
            <w:vAlign w:val="bottom"/>
          </w:tcPr>
          <w:p w:rsidR="00057923" w:rsidRPr="00057923" w:rsidRDefault="00057923" w:rsidP="00057923">
            <w:pPr>
              <w:spacing w:after="0" w:line="276" w:lineRule="auto"/>
              <w:rPr>
                <w:rFonts w:ascii="Book Antiqua" w:eastAsia="Times New Roman" w:hAnsi="Book Antiqua" w:cs="Times New Roman"/>
                <w:b/>
                <w:color w:val="000000"/>
                <w:sz w:val="20"/>
                <w:szCs w:val="20"/>
                <w:lang w:eastAsia="sk-SK"/>
              </w:rPr>
            </w:pPr>
            <w:r w:rsidRPr="00057923">
              <w:rPr>
                <w:rFonts w:ascii="Book Antiqua" w:eastAsia="Times New Roman" w:hAnsi="Book Antiqua" w:cs="Times New Roman"/>
                <w:b/>
                <w:color w:val="000000"/>
                <w:sz w:val="20"/>
                <w:szCs w:val="20"/>
                <w:lang w:eastAsia="sk-SK"/>
              </w:rPr>
              <w:t>Priemerná nasporená suma</w:t>
            </w:r>
          </w:p>
        </w:tc>
        <w:tc>
          <w:tcPr>
            <w:tcW w:w="1077" w:type="pct"/>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2 895 €</w:t>
            </w:r>
          </w:p>
        </w:tc>
        <w:tc>
          <w:tcPr>
            <w:tcW w:w="1078" w:type="pct"/>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2 653 €</w:t>
            </w:r>
          </w:p>
        </w:tc>
        <w:tc>
          <w:tcPr>
            <w:tcW w:w="1077" w:type="pct"/>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945 </w:t>
            </w:r>
            <w:r w:rsidRPr="00057923">
              <w:rPr>
                <w:rFonts w:ascii="Book Antiqua" w:eastAsia="Times New Roman" w:hAnsi="Book Antiqua" w:cs="Arial"/>
                <w:sz w:val="20"/>
                <w:szCs w:val="20"/>
                <w:lang w:eastAsia="sk-SK"/>
              </w:rPr>
              <w:t>€</w:t>
            </w:r>
          </w:p>
        </w:tc>
        <w:tc>
          <w:tcPr>
            <w:tcW w:w="1115" w:type="pct"/>
            <w:tcBorders>
              <w:top w:val="single" w:sz="4" w:space="0" w:color="auto"/>
              <w:left w:val="nil"/>
              <w:bottom w:val="single" w:sz="4" w:space="0" w:color="auto"/>
              <w:right w:val="single" w:sz="4" w:space="0" w:color="auto"/>
            </w:tcBorders>
            <w:noWrap/>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620 </w:t>
            </w:r>
            <w:r w:rsidRPr="00057923">
              <w:rPr>
                <w:rFonts w:ascii="Book Antiqua" w:eastAsia="Times New Roman" w:hAnsi="Book Antiqua" w:cs="Arial"/>
                <w:sz w:val="20"/>
                <w:szCs w:val="20"/>
                <w:lang w:eastAsia="sk-SK"/>
              </w:rPr>
              <w:t>€</w:t>
            </w:r>
          </w:p>
        </w:tc>
      </w:tr>
    </w:tbl>
    <w:p w:rsidR="00057923" w:rsidRPr="00057923" w:rsidRDefault="00057923" w:rsidP="00057923">
      <w:pPr>
        <w:spacing w:after="200" w:line="276" w:lineRule="auto"/>
        <w:jc w:val="both"/>
        <w:rPr>
          <w:rFonts w:eastAsia="Times New Roman" w:cs="Times New Roman"/>
        </w:rPr>
      </w:pPr>
      <w:r w:rsidRPr="00057923">
        <w:rPr>
          <w:rFonts w:ascii="Book Antiqua" w:eastAsia="Times New Roman" w:hAnsi="Book Antiqua" w:cs="Times New Roman"/>
          <w:i/>
          <w:sz w:val="20"/>
          <w:szCs w:val="24"/>
        </w:rPr>
        <w:t>Zdroj: doplnkové dôchodkové spoločnosti</w:t>
      </w:r>
    </w:p>
    <w:p w:rsidR="00057923" w:rsidRPr="00057923" w:rsidRDefault="00057923" w:rsidP="00057923">
      <w:pPr>
        <w:keepNext/>
        <w:spacing w:after="200" w:line="276" w:lineRule="auto"/>
        <w:jc w:val="both"/>
        <w:rPr>
          <w:rFonts w:ascii="Book Antiqua" w:eastAsia="Times New Roman" w:hAnsi="Book Antiqua" w:cs="Times New Roman"/>
          <w:b/>
          <w:bCs/>
        </w:rPr>
      </w:pPr>
      <w:r w:rsidRPr="00057923">
        <w:rPr>
          <w:rFonts w:ascii="Book Antiqua" w:eastAsia="Times New Roman" w:hAnsi="Book Antiqua" w:cs="Times New Roman"/>
          <w:b/>
          <w:bCs/>
        </w:rPr>
        <w:t xml:space="preserve">Tabuľka 17: </w:t>
      </w:r>
      <w:r w:rsidRPr="00057923">
        <w:rPr>
          <w:rFonts w:ascii="Book Antiqua" w:eastAsia="Times New Roman" w:hAnsi="Book Antiqua" w:cs="Times New Roman"/>
          <w:bCs/>
        </w:rPr>
        <w:t>Počet účastníkov so zmluvou s dávkovým plánom a ich priemerná nasporená suma podľa vekových kategórií v roku 2016</w:t>
      </w:r>
    </w:p>
    <w:tbl>
      <w:tblPr>
        <w:tblW w:w="5039" w:type="pct"/>
        <w:tblCellMar>
          <w:left w:w="70" w:type="dxa"/>
          <w:right w:w="70" w:type="dxa"/>
        </w:tblCellMar>
        <w:tblLook w:val="04A0" w:firstRow="1" w:lastRow="0" w:firstColumn="1" w:lastColumn="0" w:noHBand="0" w:noVBand="1"/>
      </w:tblPr>
      <w:tblGrid>
        <w:gridCol w:w="909"/>
        <w:gridCol w:w="1949"/>
        <w:gridCol w:w="2235"/>
        <w:gridCol w:w="1810"/>
        <w:gridCol w:w="2228"/>
      </w:tblGrid>
      <w:tr w:rsidR="00057923" w:rsidRPr="00057923" w:rsidTr="00A62543">
        <w:trPr>
          <w:trHeight w:val="907"/>
        </w:trPr>
        <w:tc>
          <w:tcPr>
            <w:tcW w:w="498" w:type="pct"/>
            <w:tcBorders>
              <w:top w:val="single" w:sz="4" w:space="0" w:color="auto"/>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Vek</w:t>
            </w:r>
          </w:p>
        </w:tc>
        <w:tc>
          <w:tcPr>
            <w:tcW w:w="1067" w:type="pct"/>
            <w:tcBorders>
              <w:top w:val="single" w:sz="4" w:space="0" w:color="auto"/>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 xml:space="preserve">Počet účastníkov bez príspevku za </w:t>
            </w:r>
            <w:proofErr w:type="spellStart"/>
            <w:r w:rsidRPr="00057923">
              <w:rPr>
                <w:rFonts w:ascii="Book Antiqua" w:eastAsia="Times New Roman" w:hAnsi="Book Antiqua" w:cs="Arial"/>
                <w:b/>
                <w:sz w:val="20"/>
                <w:szCs w:val="20"/>
                <w:lang w:eastAsia="sk-SK"/>
              </w:rPr>
              <w:t>rizikára</w:t>
            </w:r>
            <w:proofErr w:type="spellEnd"/>
            <w:r w:rsidRPr="00057923">
              <w:rPr>
                <w:rFonts w:ascii="Book Antiqua" w:eastAsia="Times New Roman" w:hAnsi="Book Antiqua" w:cs="Arial"/>
                <w:b/>
                <w:sz w:val="20"/>
                <w:szCs w:val="20"/>
                <w:lang w:eastAsia="sk-SK"/>
              </w:rPr>
              <w:t xml:space="preserve"> </w:t>
            </w:r>
          </w:p>
        </w:tc>
        <w:tc>
          <w:tcPr>
            <w:tcW w:w="1224" w:type="pct"/>
            <w:tcBorders>
              <w:top w:val="single" w:sz="4" w:space="0" w:color="auto"/>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 xml:space="preserve">Priemerná nasporená suma účastníkov bez príspevku za </w:t>
            </w:r>
            <w:proofErr w:type="spellStart"/>
            <w:r w:rsidRPr="00057923">
              <w:rPr>
                <w:rFonts w:ascii="Book Antiqua" w:eastAsia="Times New Roman" w:hAnsi="Book Antiqua" w:cs="Arial"/>
                <w:b/>
                <w:sz w:val="20"/>
                <w:szCs w:val="20"/>
                <w:lang w:eastAsia="sk-SK"/>
              </w:rPr>
              <w:t>rizikára</w:t>
            </w:r>
            <w:proofErr w:type="spellEnd"/>
            <w:r w:rsidRPr="00057923">
              <w:rPr>
                <w:rFonts w:ascii="Book Antiqua" w:eastAsia="Times New Roman" w:hAnsi="Book Antiqua" w:cs="Arial"/>
                <w:b/>
                <w:sz w:val="20"/>
                <w:szCs w:val="20"/>
                <w:lang w:eastAsia="sk-SK"/>
              </w:rPr>
              <w:t xml:space="preserve"> </w:t>
            </w:r>
          </w:p>
        </w:tc>
        <w:tc>
          <w:tcPr>
            <w:tcW w:w="991" w:type="pct"/>
            <w:tcBorders>
              <w:top w:val="single" w:sz="4" w:space="0" w:color="auto"/>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 xml:space="preserve">Počet účastníkov s príspevkom za </w:t>
            </w:r>
            <w:proofErr w:type="spellStart"/>
            <w:r w:rsidRPr="00057923">
              <w:rPr>
                <w:rFonts w:ascii="Book Antiqua" w:eastAsia="Times New Roman" w:hAnsi="Book Antiqua" w:cs="Arial"/>
                <w:b/>
                <w:sz w:val="20"/>
                <w:szCs w:val="20"/>
                <w:lang w:eastAsia="sk-SK"/>
              </w:rPr>
              <w:t>rizikára</w:t>
            </w:r>
            <w:proofErr w:type="spellEnd"/>
            <w:r w:rsidRPr="00057923">
              <w:rPr>
                <w:rFonts w:ascii="Book Antiqua" w:eastAsia="Times New Roman" w:hAnsi="Book Antiqua" w:cs="Arial"/>
                <w:b/>
                <w:sz w:val="20"/>
                <w:szCs w:val="20"/>
                <w:lang w:eastAsia="sk-SK"/>
              </w:rPr>
              <w:t xml:space="preserve"> </w:t>
            </w:r>
          </w:p>
        </w:tc>
        <w:tc>
          <w:tcPr>
            <w:tcW w:w="1220" w:type="pct"/>
            <w:tcBorders>
              <w:top w:val="single" w:sz="4" w:space="0" w:color="auto"/>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 xml:space="preserve">Priemerná nasporená suma účastníkov s príspevkom za </w:t>
            </w:r>
            <w:proofErr w:type="spellStart"/>
            <w:r w:rsidRPr="00057923">
              <w:rPr>
                <w:rFonts w:ascii="Book Antiqua" w:eastAsia="Times New Roman" w:hAnsi="Book Antiqua" w:cs="Arial"/>
                <w:b/>
                <w:sz w:val="20"/>
                <w:szCs w:val="20"/>
                <w:lang w:eastAsia="sk-SK"/>
              </w:rPr>
              <w:t>rizikára</w:t>
            </w:r>
            <w:proofErr w:type="spellEnd"/>
            <w:r w:rsidRPr="00057923">
              <w:rPr>
                <w:rFonts w:ascii="Book Antiqua" w:eastAsia="Times New Roman" w:hAnsi="Book Antiqua" w:cs="Arial"/>
                <w:b/>
                <w:sz w:val="20"/>
                <w:szCs w:val="20"/>
                <w:lang w:eastAsia="sk-SK"/>
              </w:rPr>
              <w:t xml:space="preserve"> </w:t>
            </w:r>
          </w:p>
        </w:tc>
      </w:tr>
      <w:tr w:rsidR="00057923" w:rsidRPr="00057923" w:rsidTr="00A62543">
        <w:trPr>
          <w:trHeight w:val="255"/>
        </w:trPr>
        <w:tc>
          <w:tcPr>
            <w:tcW w:w="498"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20 - 24</w:t>
            </w:r>
          </w:p>
        </w:tc>
        <w:tc>
          <w:tcPr>
            <w:tcW w:w="106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1 682</w:t>
            </w:r>
          </w:p>
        </w:tc>
        <w:tc>
          <w:tcPr>
            <w:tcW w:w="1224"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727,88 €</w:t>
            </w:r>
          </w:p>
        </w:tc>
        <w:tc>
          <w:tcPr>
            <w:tcW w:w="991"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336</w:t>
            </w:r>
          </w:p>
        </w:tc>
        <w:tc>
          <w:tcPr>
            <w:tcW w:w="1220"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777,26 €</w:t>
            </w:r>
          </w:p>
        </w:tc>
      </w:tr>
      <w:tr w:rsidR="00057923" w:rsidRPr="00057923" w:rsidTr="00A62543">
        <w:trPr>
          <w:trHeight w:val="255"/>
        </w:trPr>
        <w:tc>
          <w:tcPr>
            <w:tcW w:w="498"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25 - 29</w:t>
            </w:r>
          </w:p>
        </w:tc>
        <w:tc>
          <w:tcPr>
            <w:tcW w:w="106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15 531</w:t>
            </w:r>
          </w:p>
        </w:tc>
        <w:tc>
          <w:tcPr>
            <w:tcW w:w="1224"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1 010,52 €</w:t>
            </w:r>
          </w:p>
        </w:tc>
        <w:tc>
          <w:tcPr>
            <w:tcW w:w="991"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1 870</w:t>
            </w:r>
          </w:p>
        </w:tc>
        <w:tc>
          <w:tcPr>
            <w:tcW w:w="1220"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1 096,61 €</w:t>
            </w:r>
          </w:p>
        </w:tc>
      </w:tr>
      <w:tr w:rsidR="00057923" w:rsidRPr="00057923" w:rsidTr="00A62543">
        <w:trPr>
          <w:trHeight w:val="255"/>
        </w:trPr>
        <w:tc>
          <w:tcPr>
            <w:tcW w:w="498"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30 - 34</w:t>
            </w:r>
          </w:p>
        </w:tc>
        <w:tc>
          <w:tcPr>
            <w:tcW w:w="106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47 135</w:t>
            </w:r>
          </w:p>
        </w:tc>
        <w:tc>
          <w:tcPr>
            <w:tcW w:w="1224"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1 445,81 €</w:t>
            </w:r>
          </w:p>
        </w:tc>
        <w:tc>
          <w:tcPr>
            <w:tcW w:w="991"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3 416</w:t>
            </w:r>
          </w:p>
        </w:tc>
        <w:tc>
          <w:tcPr>
            <w:tcW w:w="1220"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1 797,88 €</w:t>
            </w:r>
          </w:p>
        </w:tc>
      </w:tr>
      <w:tr w:rsidR="00057923" w:rsidRPr="00057923" w:rsidTr="00A62543">
        <w:trPr>
          <w:trHeight w:val="255"/>
        </w:trPr>
        <w:tc>
          <w:tcPr>
            <w:tcW w:w="498"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35 - 39</w:t>
            </w:r>
          </w:p>
        </w:tc>
        <w:tc>
          <w:tcPr>
            <w:tcW w:w="106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73 087</w:t>
            </w:r>
          </w:p>
        </w:tc>
        <w:tc>
          <w:tcPr>
            <w:tcW w:w="1224"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2 037,61 €</w:t>
            </w:r>
          </w:p>
        </w:tc>
        <w:tc>
          <w:tcPr>
            <w:tcW w:w="991"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4 531</w:t>
            </w:r>
          </w:p>
        </w:tc>
        <w:tc>
          <w:tcPr>
            <w:tcW w:w="1220"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2 451,40 €</w:t>
            </w:r>
          </w:p>
        </w:tc>
      </w:tr>
      <w:tr w:rsidR="00057923" w:rsidRPr="00057923" w:rsidTr="00A62543">
        <w:trPr>
          <w:trHeight w:val="255"/>
        </w:trPr>
        <w:tc>
          <w:tcPr>
            <w:tcW w:w="498"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40 - 44</w:t>
            </w:r>
          </w:p>
        </w:tc>
        <w:tc>
          <w:tcPr>
            <w:tcW w:w="106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86 768</w:t>
            </w:r>
          </w:p>
        </w:tc>
        <w:tc>
          <w:tcPr>
            <w:tcW w:w="1224"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2 602,50 €</w:t>
            </w:r>
          </w:p>
        </w:tc>
        <w:tc>
          <w:tcPr>
            <w:tcW w:w="991"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6 345</w:t>
            </w:r>
          </w:p>
        </w:tc>
        <w:tc>
          <w:tcPr>
            <w:tcW w:w="1220"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3 011,97 €</w:t>
            </w:r>
          </w:p>
        </w:tc>
      </w:tr>
      <w:tr w:rsidR="00057923" w:rsidRPr="00057923" w:rsidTr="00A62543">
        <w:trPr>
          <w:trHeight w:val="255"/>
        </w:trPr>
        <w:tc>
          <w:tcPr>
            <w:tcW w:w="498"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45 - 49</w:t>
            </w:r>
          </w:p>
        </w:tc>
        <w:tc>
          <w:tcPr>
            <w:tcW w:w="106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82 058</w:t>
            </w:r>
          </w:p>
        </w:tc>
        <w:tc>
          <w:tcPr>
            <w:tcW w:w="1224"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3 031,35 €</w:t>
            </w:r>
          </w:p>
        </w:tc>
        <w:tc>
          <w:tcPr>
            <w:tcW w:w="991"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6 268</w:t>
            </w:r>
          </w:p>
        </w:tc>
        <w:tc>
          <w:tcPr>
            <w:tcW w:w="1220"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3 502,31 €</w:t>
            </w:r>
          </w:p>
        </w:tc>
      </w:tr>
      <w:tr w:rsidR="00057923" w:rsidRPr="00057923" w:rsidTr="00A62543">
        <w:trPr>
          <w:trHeight w:val="255"/>
        </w:trPr>
        <w:tc>
          <w:tcPr>
            <w:tcW w:w="498"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50 - 54</w:t>
            </w:r>
          </w:p>
        </w:tc>
        <w:tc>
          <w:tcPr>
            <w:tcW w:w="106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77 918</w:t>
            </w:r>
          </w:p>
        </w:tc>
        <w:tc>
          <w:tcPr>
            <w:tcW w:w="1224"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2 991,76 €</w:t>
            </w:r>
          </w:p>
        </w:tc>
        <w:tc>
          <w:tcPr>
            <w:tcW w:w="991"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5 415</w:t>
            </w:r>
          </w:p>
        </w:tc>
        <w:tc>
          <w:tcPr>
            <w:tcW w:w="1220"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3 087,05 €</w:t>
            </w:r>
          </w:p>
        </w:tc>
      </w:tr>
      <w:tr w:rsidR="00057923" w:rsidRPr="00057923" w:rsidTr="00A62543">
        <w:trPr>
          <w:trHeight w:val="255"/>
        </w:trPr>
        <w:tc>
          <w:tcPr>
            <w:tcW w:w="498"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55 - 59</w:t>
            </w:r>
          </w:p>
        </w:tc>
        <w:tc>
          <w:tcPr>
            <w:tcW w:w="106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76 981</w:t>
            </w:r>
          </w:p>
        </w:tc>
        <w:tc>
          <w:tcPr>
            <w:tcW w:w="1224"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3 160,09 €</w:t>
            </w:r>
          </w:p>
        </w:tc>
        <w:tc>
          <w:tcPr>
            <w:tcW w:w="991"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5 695</w:t>
            </w:r>
          </w:p>
        </w:tc>
        <w:tc>
          <w:tcPr>
            <w:tcW w:w="1220"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3 285,09 €</w:t>
            </w:r>
          </w:p>
        </w:tc>
      </w:tr>
      <w:tr w:rsidR="00057923" w:rsidRPr="00057923" w:rsidTr="00A62543">
        <w:trPr>
          <w:trHeight w:val="255"/>
        </w:trPr>
        <w:tc>
          <w:tcPr>
            <w:tcW w:w="498"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60 - 64</w:t>
            </w:r>
          </w:p>
        </w:tc>
        <w:tc>
          <w:tcPr>
            <w:tcW w:w="106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39 033</w:t>
            </w:r>
          </w:p>
        </w:tc>
        <w:tc>
          <w:tcPr>
            <w:tcW w:w="1224"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3 511,41 €</w:t>
            </w:r>
          </w:p>
        </w:tc>
        <w:tc>
          <w:tcPr>
            <w:tcW w:w="991"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2 236</w:t>
            </w:r>
          </w:p>
        </w:tc>
        <w:tc>
          <w:tcPr>
            <w:tcW w:w="1220"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3 634,83 €</w:t>
            </w:r>
          </w:p>
        </w:tc>
      </w:tr>
      <w:tr w:rsidR="00057923" w:rsidRPr="00057923" w:rsidTr="00A62543">
        <w:trPr>
          <w:trHeight w:val="255"/>
        </w:trPr>
        <w:tc>
          <w:tcPr>
            <w:tcW w:w="498"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 xml:space="preserve">65 + </w:t>
            </w:r>
          </w:p>
        </w:tc>
        <w:tc>
          <w:tcPr>
            <w:tcW w:w="106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5 877</w:t>
            </w:r>
          </w:p>
        </w:tc>
        <w:tc>
          <w:tcPr>
            <w:tcW w:w="1224"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3 534,44 €</w:t>
            </w:r>
          </w:p>
        </w:tc>
        <w:tc>
          <w:tcPr>
            <w:tcW w:w="991"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185</w:t>
            </w:r>
          </w:p>
        </w:tc>
        <w:tc>
          <w:tcPr>
            <w:tcW w:w="1220"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4 825,19 €</w:t>
            </w:r>
          </w:p>
        </w:tc>
      </w:tr>
      <w:tr w:rsidR="00057923" w:rsidRPr="00057923" w:rsidTr="00A62543">
        <w:trPr>
          <w:trHeight w:val="255"/>
        </w:trPr>
        <w:tc>
          <w:tcPr>
            <w:tcW w:w="498"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SPOLU</w:t>
            </w:r>
          </w:p>
        </w:tc>
        <w:tc>
          <w:tcPr>
            <w:tcW w:w="106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506 070</w:t>
            </w:r>
          </w:p>
        </w:tc>
        <w:tc>
          <w:tcPr>
            <w:tcW w:w="1224"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b/>
                <w:sz w:val="20"/>
                <w:szCs w:val="20"/>
                <w:lang w:eastAsia="sk-SK"/>
              </w:rPr>
            </w:pPr>
            <w:r w:rsidRPr="00057923">
              <w:rPr>
                <w:rFonts w:ascii="Book Antiqua" w:eastAsia="Times New Roman" w:hAnsi="Book Antiqua" w:cs="Arial"/>
                <w:sz w:val="20"/>
                <w:szCs w:val="20"/>
              </w:rPr>
              <w:t>2 653,31 €</w:t>
            </w:r>
          </w:p>
        </w:tc>
        <w:tc>
          <w:tcPr>
            <w:tcW w:w="991"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36 297</w:t>
            </w:r>
          </w:p>
        </w:tc>
        <w:tc>
          <w:tcPr>
            <w:tcW w:w="1220"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b/>
                <w:sz w:val="20"/>
                <w:szCs w:val="20"/>
                <w:lang w:eastAsia="sk-SK"/>
              </w:rPr>
            </w:pPr>
            <w:r w:rsidRPr="00057923">
              <w:rPr>
                <w:rFonts w:ascii="Book Antiqua" w:eastAsia="Times New Roman" w:hAnsi="Book Antiqua" w:cs="Arial"/>
                <w:sz w:val="20"/>
                <w:szCs w:val="20"/>
              </w:rPr>
              <w:t>2 894,71 €</w:t>
            </w:r>
          </w:p>
        </w:tc>
      </w:tr>
    </w:tbl>
    <w:p w:rsidR="00057923" w:rsidRPr="00057923" w:rsidRDefault="00057923" w:rsidP="00057923">
      <w:pPr>
        <w:spacing w:after="200" w:line="276" w:lineRule="auto"/>
        <w:jc w:val="both"/>
        <w:rPr>
          <w:rFonts w:ascii="Times New Roman" w:eastAsia="Times New Roman" w:hAnsi="Times New Roman" w:cs="Times New Roman"/>
          <w:i/>
          <w:sz w:val="24"/>
          <w:szCs w:val="24"/>
        </w:rPr>
      </w:pPr>
      <w:r w:rsidRPr="00057923">
        <w:rPr>
          <w:rFonts w:ascii="Book Antiqua" w:eastAsia="Times New Roman" w:hAnsi="Book Antiqua" w:cs="Times New Roman"/>
          <w:i/>
          <w:sz w:val="20"/>
          <w:szCs w:val="24"/>
        </w:rPr>
        <w:t>Zdroj: doplnkové dôchodkové spoločnosti</w:t>
      </w:r>
    </w:p>
    <w:p w:rsidR="00057923" w:rsidRPr="00057923" w:rsidRDefault="00057923" w:rsidP="00057923">
      <w:pPr>
        <w:keepNext/>
        <w:spacing w:after="200" w:line="276" w:lineRule="auto"/>
        <w:rPr>
          <w:rFonts w:ascii="Book Antiqua" w:eastAsia="Times New Roman" w:hAnsi="Book Antiqua" w:cs="Times New Roman"/>
          <w:bCs/>
        </w:rPr>
      </w:pPr>
      <w:r w:rsidRPr="00057923">
        <w:rPr>
          <w:rFonts w:ascii="Book Antiqua" w:eastAsia="Times New Roman" w:hAnsi="Book Antiqua" w:cs="Times New Roman"/>
          <w:b/>
          <w:bCs/>
        </w:rPr>
        <w:t>Tabuľka 18:</w:t>
      </w:r>
      <w:r w:rsidRPr="00057923">
        <w:rPr>
          <w:rFonts w:ascii="Book Antiqua" w:eastAsia="Times New Roman" w:hAnsi="Book Antiqua" w:cs="Times New Roman"/>
          <w:bCs/>
        </w:rPr>
        <w:t xml:space="preserve"> Počet účastníkov so zmluvou bez dávkového plánu a ich priemerná nasporená suma podľa vekových kategórií v roku 2016</w:t>
      </w:r>
    </w:p>
    <w:tbl>
      <w:tblPr>
        <w:tblW w:w="5000" w:type="pct"/>
        <w:tblLayout w:type="fixed"/>
        <w:tblCellMar>
          <w:left w:w="70" w:type="dxa"/>
          <w:right w:w="70" w:type="dxa"/>
        </w:tblCellMar>
        <w:tblLook w:val="04A0" w:firstRow="1" w:lastRow="0" w:firstColumn="1" w:lastColumn="0" w:noHBand="0" w:noVBand="1"/>
      </w:tblPr>
      <w:tblGrid>
        <w:gridCol w:w="906"/>
        <w:gridCol w:w="1953"/>
        <w:gridCol w:w="2231"/>
        <w:gridCol w:w="1810"/>
        <w:gridCol w:w="2160"/>
      </w:tblGrid>
      <w:tr w:rsidR="00057923" w:rsidRPr="00057923" w:rsidTr="00A62543">
        <w:trPr>
          <w:trHeight w:val="255"/>
        </w:trPr>
        <w:tc>
          <w:tcPr>
            <w:tcW w:w="500" w:type="pct"/>
            <w:tcBorders>
              <w:top w:val="single" w:sz="4" w:space="0" w:color="auto"/>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Vek</w:t>
            </w:r>
          </w:p>
        </w:tc>
        <w:tc>
          <w:tcPr>
            <w:tcW w:w="1078" w:type="pct"/>
            <w:tcBorders>
              <w:top w:val="single" w:sz="4" w:space="0" w:color="auto"/>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 xml:space="preserve">Počet účastníkov bez príspevku za </w:t>
            </w:r>
            <w:proofErr w:type="spellStart"/>
            <w:r w:rsidRPr="00057923">
              <w:rPr>
                <w:rFonts w:ascii="Book Antiqua" w:eastAsia="Times New Roman" w:hAnsi="Book Antiqua" w:cs="Arial"/>
                <w:b/>
                <w:sz w:val="20"/>
                <w:szCs w:val="20"/>
                <w:lang w:eastAsia="sk-SK"/>
              </w:rPr>
              <w:t>rizikára</w:t>
            </w:r>
            <w:proofErr w:type="spellEnd"/>
            <w:r w:rsidRPr="00057923">
              <w:rPr>
                <w:rFonts w:ascii="Book Antiqua" w:eastAsia="Times New Roman" w:hAnsi="Book Antiqua" w:cs="Arial"/>
                <w:b/>
                <w:sz w:val="20"/>
                <w:szCs w:val="20"/>
                <w:lang w:eastAsia="sk-SK"/>
              </w:rPr>
              <w:t xml:space="preserve"> </w:t>
            </w:r>
          </w:p>
        </w:tc>
        <w:tc>
          <w:tcPr>
            <w:tcW w:w="1231" w:type="pct"/>
            <w:tcBorders>
              <w:top w:val="single" w:sz="4" w:space="0" w:color="auto"/>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 xml:space="preserve">Priemerná nasporená suma účastníkov bez príspevku za </w:t>
            </w:r>
            <w:proofErr w:type="spellStart"/>
            <w:r w:rsidRPr="00057923">
              <w:rPr>
                <w:rFonts w:ascii="Book Antiqua" w:eastAsia="Times New Roman" w:hAnsi="Book Antiqua" w:cs="Arial"/>
                <w:b/>
                <w:sz w:val="20"/>
                <w:szCs w:val="20"/>
                <w:lang w:eastAsia="sk-SK"/>
              </w:rPr>
              <w:t>rizikára</w:t>
            </w:r>
            <w:proofErr w:type="spellEnd"/>
            <w:r w:rsidRPr="00057923">
              <w:rPr>
                <w:rFonts w:ascii="Book Antiqua" w:eastAsia="Times New Roman" w:hAnsi="Book Antiqua" w:cs="Arial"/>
                <w:b/>
                <w:sz w:val="20"/>
                <w:szCs w:val="20"/>
                <w:lang w:eastAsia="sk-SK"/>
              </w:rPr>
              <w:t xml:space="preserve"> </w:t>
            </w:r>
          </w:p>
        </w:tc>
        <w:tc>
          <w:tcPr>
            <w:tcW w:w="999" w:type="pct"/>
            <w:tcBorders>
              <w:top w:val="single" w:sz="4" w:space="0" w:color="auto"/>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 xml:space="preserve">Počet účastníkov s príspevkom za </w:t>
            </w:r>
            <w:proofErr w:type="spellStart"/>
            <w:r w:rsidRPr="00057923">
              <w:rPr>
                <w:rFonts w:ascii="Book Antiqua" w:eastAsia="Times New Roman" w:hAnsi="Book Antiqua" w:cs="Arial"/>
                <w:b/>
                <w:sz w:val="20"/>
                <w:szCs w:val="20"/>
                <w:lang w:eastAsia="sk-SK"/>
              </w:rPr>
              <w:t>rizikára</w:t>
            </w:r>
            <w:proofErr w:type="spellEnd"/>
            <w:r w:rsidRPr="00057923">
              <w:rPr>
                <w:rFonts w:ascii="Book Antiqua" w:eastAsia="Times New Roman" w:hAnsi="Book Antiqua" w:cs="Arial"/>
                <w:b/>
                <w:sz w:val="20"/>
                <w:szCs w:val="20"/>
                <w:lang w:eastAsia="sk-SK"/>
              </w:rPr>
              <w:t xml:space="preserve"> </w:t>
            </w:r>
          </w:p>
        </w:tc>
        <w:tc>
          <w:tcPr>
            <w:tcW w:w="1192" w:type="pct"/>
            <w:tcBorders>
              <w:top w:val="single" w:sz="4" w:space="0" w:color="auto"/>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 xml:space="preserve">Priemerná nasporená suma účastníkov s príspevkom za </w:t>
            </w:r>
            <w:proofErr w:type="spellStart"/>
            <w:r w:rsidRPr="00057923">
              <w:rPr>
                <w:rFonts w:ascii="Book Antiqua" w:eastAsia="Times New Roman" w:hAnsi="Book Antiqua" w:cs="Arial"/>
                <w:b/>
                <w:sz w:val="20"/>
                <w:szCs w:val="20"/>
                <w:lang w:eastAsia="sk-SK"/>
              </w:rPr>
              <w:t>rizikára</w:t>
            </w:r>
            <w:proofErr w:type="spellEnd"/>
            <w:r w:rsidRPr="00057923">
              <w:rPr>
                <w:rFonts w:ascii="Book Antiqua" w:eastAsia="Times New Roman" w:hAnsi="Book Antiqua" w:cs="Arial"/>
                <w:b/>
                <w:sz w:val="20"/>
                <w:szCs w:val="20"/>
                <w:lang w:eastAsia="sk-SK"/>
              </w:rPr>
              <w:t xml:space="preserve">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15 - 19</w:t>
            </w:r>
          </w:p>
        </w:tc>
        <w:tc>
          <w:tcPr>
            <w:tcW w:w="1078"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433</w:t>
            </w:r>
          </w:p>
        </w:tc>
        <w:tc>
          <w:tcPr>
            <w:tcW w:w="1231"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59,77 €</w:t>
            </w:r>
          </w:p>
        </w:tc>
        <w:tc>
          <w:tcPr>
            <w:tcW w:w="999"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161</w:t>
            </w:r>
          </w:p>
        </w:tc>
        <w:tc>
          <w:tcPr>
            <w:tcW w:w="1192"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57,67 €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20 - 24</w:t>
            </w:r>
          </w:p>
        </w:tc>
        <w:tc>
          <w:tcPr>
            <w:tcW w:w="1078"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8 982</w:t>
            </w:r>
          </w:p>
        </w:tc>
        <w:tc>
          <w:tcPr>
            <w:tcW w:w="1231"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242,52 €</w:t>
            </w:r>
          </w:p>
        </w:tc>
        <w:tc>
          <w:tcPr>
            <w:tcW w:w="999"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2 495</w:t>
            </w:r>
          </w:p>
        </w:tc>
        <w:tc>
          <w:tcPr>
            <w:tcW w:w="1192"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213,23 €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25 - 29</w:t>
            </w:r>
          </w:p>
        </w:tc>
        <w:tc>
          <w:tcPr>
            <w:tcW w:w="1078"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21 341</w:t>
            </w:r>
          </w:p>
        </w:tc>
        <w:tc>
          <w:tcPr>
            <w:tcW w:w="1231"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420,46 €</w:t>
            </w:r>
          </w:p>
        </w:tc>
        <w:tc>
          <w:tcPr>
            <w:tcW w:w="999"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2 929</w:t>
            </w:r>
          </w:p>
        </w:tc>
        <w:tc>
          <w:tcPr>
            <w:tcW w:w="1192"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322,19 €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30 - 34</w:t>
            </w:r>
          </w:p>
        </w:tc>
        <w:tc>
          <w:tcPr>
            <w:tcW w:w="1078"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22 729</w:t>
            </w:r>
          </w:p>
        </w:tc>
        <w:tc>
          <w:tcPr>
            <w:tcW w:w="1231"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631,83 €</w:t>
            </w:r>
          </w:p>
        </w:tc>
        <w:tc>
          <w:tcPr>
            <w:tcW w:w="999"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2 724</w:t>
            </w:r>
          </w:p>
        </w:tc>
        <w:tc>
          <w:tcPr>
            <w:tcW w:w="1192"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518,58 €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35 - 39</w:t>
            </w:r>
          </w:p>
        </w:tc>
        <w:tc>
          <w:tcPr>
            <w:tcW w:w="1078"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24 778</w:t>
            </w:r>
          </w:p>
        </w:tc>
        <w:tc>
          <w:tcPr>
            <w:tcW w:w="1231"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846,80 €</w:t>
            </w:r>
          </w:p>
        </w:tc>
        <w:tc>
          <w:tcPr>
            <w:tcW w:w="999"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2 783</w:t>
            </w:r>
          </w:p>
        </w:tc>
        <w:tc>
          <w:tcPr>
            <w:tcW w:w="1192"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581,68 €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40 - 44</w:t>
            </w:r>
          </w:p>
        </w:tc>
        <w:tc>
          <w:tcPr>
            <w:tcW w:w="1078"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24 652</w:t>
            </w:r>
          </w:p>
        </w:tc>
        <w:tc>
          <w:tcPr>
            <w:tcW w:w="1231"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1 025,95 €</w:t>
            </w:r>
          </w:p>
        </w:tc>
        <w:tc>
          <w:tcPr>
            <w:tcW w:w="999"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3 036</w:t>
            </w:r>
          </w:p>
        </w:tc>
        <w:tc>
          <w:tcPr>
            <w:tcW w:w="1192"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754,07 €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45 - 49</w:t>
            </w:r>
          </w:p>
        </w:tc>
        <w:tc>
          <w:tcPr>
            <w:tcW w:w="1078"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19 150</w:t>
            </w:r>
          </w:p>
        </w:tc>
        <w:tc>
          <w:tcPr>
            <w:tcW w:w="1231"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1 164,80 €</w:t>
            </w:r>
          </w:p>
        </w:tc>
        <w:tc>
          <w:tcPr>
            <w:tcW w:w="999"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2 365</w:t>
            </w:r>
          </w:p>
        </w:tc>
        <w:tc>
          <w:tcPr>
            <w:tcW w:w="1192"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786,59 €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50 - 54</w:t>
            </w:r>
          </w:p>
        </w:tc>
        <w:tc>
          <w:tcPr>
            <w:tcW w:w="1078"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28 928</w:t>
            </w:r>
          </w:p>
        </w:tc>
        <w:tc>
          <w:tcPr>
            <w:tcW w:w="1231"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1 049,06 €</w:t>
            </w:r>
          </w:p>
        </w:tc>
        <w:tc>
          <w:tcPr>
            <w:tcW w:w="999"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3 383</w:t>
            </w:r>
          </w:p>
        </w:tc>
        <w:tc>
          <w:tcPr>
            <w:tcW w:w="1192"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743,89 €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55 - 59</w:t>
            </w:r>
          </w:p>
        </w:tc>
        <w:tc>
          <w:tcPr>
            <w:tcW w:w="1078"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20 950</w:t>
            </w:r>
          </w:p>
        </w:tc>
        <w:tc>
          <w:tcPr>
            <w:tcW w:w="1231"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1 416,86 €</w:t>
            </w:r>
          </w:p>
        </w:tc>
        <w:tc>
          <w:tcPr>
            <w:tcW w:w="999"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2 119</w:t>
            </w:r>
          </w:p>
        </w:tc>
        <w:tc>
          <w:tcPr>
            <w:tcW w:w="1192"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911,11 €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lastRenderedPageBreak/>
              <w:t>60 - 64</w:t>
            </w:r>
          </w:p>
        </w:tc>
        <w:tc>
          <w:tcPr>
            <w:tcW w:w="1078"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10 389</w:t>
            </w:r>
          </w:p>
        </w:tc>
        <w:tc>
          <w:tcPr>
            <w:tcW w:w="1231"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1 643,80 €</w:t>
            </w:r>
          </w:p>
        </w:tc>
        <w:tc>
          <w:tcPr>
            <w:tcW w:w="999"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823</w:t>
            </w:r>
          </w:p>
        </w:tc>
        <w:tc>
          <w:tcPr>
            <w:tcW w:w="1192"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1 229,64 €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 xml:space="preserve">65 + </w:t>
            </w:r>
          </w:p>
        </w:tc>
        <w:tc>
          <w:tcPr>
            <w:tcW w:w="1078"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1 318</w:t>
            </w:r>
          </w:p>
        </w:tc>
        <w:tc>
          <w:tcPr>
            <w:tcW w:w="1231"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1 801,47 €</w:t>
            </w:r>
          </w:p>
        </w:tc>
        <w:tc>
          <w:tcPr>
            <w:tcW w:w="999"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73</w:t>
            </w:r>
          </w:p>
        </w:tc>
        <w:tc>
          <w:tcPr>
            <w:tcW w:w="1192"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sz w:val="20"/>
                <w:szCs w:val="20"/>
                <w:lang w:eastAsia="sk-SK"/>
              </w:rPr>
            </w:pPr>
            <w:r w:rsidRPr="00057923">
              <w:rPr>
                <w:rFonts w:ascii="Book Antiqua" w:eastAsia="Times New Roman" w:hAnsi="Book Antiqua" w:cs="Arial"/>
                <w:sz w:val="20"/>
                <w:szCs w:val="20"/>
              </w:rPr>
              <w:t>923,82 €</w:t>
            </w:r>
          </w:p>
        </w:tc>
      </w:tr>
      <w:tr w:rsidR="00057923" w:rsidRPr="00057923" w:rsidTr="00A62543">
        <w:trPr>
          <w:trHeight w:val="255"/>
        </w:trPr>
        <w:tc>
          <w:tcPr>
            <w:tcW w:w="500" w:type="pct"/>
            <w:tcBorders>
              <w:top w:val="nil"/>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SPOLU</w:t>
            </w:r>
          </w:p>
        </w:tc>
        <w:tc>
          <w:tcPr>
            <w:tcW w:w="1078"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right"/>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183 650</w:t>
            </w:r>
          </w:p>
        </w:tc>
        <w:tc>
          <w:tcPr>
            <w:tcW w:w="1231"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b/>
                <w:sz w:val="20"/>
                <w:szCs w:val="20"/>
                <w:lang w:eastAsia="sk-SK"/>
              </w:rPr>
            </w:pPr>
            <w:r w:rsidRPr="00057923">
              <w:rPr>
                <w:rFonts w:ascii="Book Antiqua" w:eastAsia="Times New Roman" w:hAnsi="Book Antiqua" w:cs="Arial"/>
                <w:b/>
                <w:sz w:val="20"/>
                <w:szCs w:val="20"/>
              </w:rPr>
              <w:t>945,27 €</w:t>
            </w:r>
          </w:p>
        </w:tc>
        <w:tc>
          <w:tcPr>
            <w:tcW w:w="999"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b/>
                <w:sz w:val="20"/>
                <w:szCs w:val="20"/>
                <w:lang w:eastAsia="sk-SK"/>
              </w:rPr>
            </w:pPr>
            <w:r w:rsidRPr="00057923">
              <w:rPr>
                <w:rFonts w:ascii="Book Antiqua" w:eastAsia="Times New Roman" w:hAnsi="Book Antiqua" w:cs="Arial"/>
                <w:b/>
                <w:sz w:val="20"/>
                <w:szCs w:val="20"/>
              </w:rPr>
              <w:t>22 891</w:t>
            </w:r>
          </w:p>
        </w:tc>
        <w:tc>
          <w:tcPr>
            <w:tcW w:w="1192" w:type="pct"/>
            <w:tcBorders>
              <w:top w:val="nil"/>
              <w:left w:val="nil"/>
              <w:bottom w:val="single" w:sz="4" w:space="0" w:color="auto"/>
              <w:right w:val="single" w:sz="4" w:space="0" w:color="auto"/>
            </w:tcBorders>
            <w:noWrap/>
            <w:vAlign w:val="bottom"/>
          </w:tcPr>
          <w:p w:rsidR="00057923" w:rsidRPr="00057923" w:rsidRDefault="00057923" w:rsidP="00057923">
            <w:pPr>
              <w:spacing w:after="0" w:line="276" w:lineRule="auto"/>
              <w:jc w:val="right"/>
              <w:rPr>
                <w:rFonts w:ascii="Book Antiqua" w:eastAsia="Times New Roman" w:hAnsi="Book Antiqua" w:cs="Arial"/>
                <w:b/>
                <w:sz w:val="20"/>
                <w:szCs w:val="20"/>
                <w:lang w:eastAsia="sk-SK"/>
              </w:rPr>
            </w:pPr>
            <w:r w:rsidRPr="00057923">
              <w:rPr>
                <w:rFonts w:ascii="Book Antiqua" w:eastAsia="Times New Roman" w:hAnsi="Book Antiqua" w:cs="Arial"/>
                <w:b/>
                <w:sz w:val="20"/>
                <w:szCs w:val="20"/>
              </w:rPr>
              <w:t>620,01 €</w:t>
            </w:r>
          </w:p>
        </w:tc>
      </w:tr>
    </w:tbl>
    <w:p w:rsidR="00057923" w:rsidRPr="00057923" w:rsidRDefault="00057923" w:rsidP="00057923">
      <w:pPr>
        <w:spacing w:after="200" w:line="276" w:lineRule="auto"/>
        <w:jc w:val="both"/>
        <w:rPr>
          <w:rFonts w:ascii="Book Antiqua" w:eastAsia="Times New Roman" w:hAnsi="Book Antiqua" w:cs="Times New Roman"/>
          <w:i/>
          <w:sz w:val="24"/>
          <w:szCs w:val="24"/>
        </w:rPr>
      </w:pPr>
      <w:r w:rsidRPr="00057923">
        <w:rPr>
          <w:rFonts w:ascii="Book Antiqua" w:eastAsia="Times New Roman" w:hAnsi="Book Antiqua" w:cs="Times New Roman"/>
          <w:i/>
          <w:sz w:val="20"/>
          <w:szCs w:val="24"/>
        </w:rPr>
        <w:t>Zdroj: doplnkové dôchodkové spoločnosti</w:t>
      </w:r>
    </w:p>
    <w:p w:rsidR="00057923" w:rsidRPr="00057923" w:rsidRDefault="00057923" w:rsidP="00057923">
      <w:pPr>
        <w:spacing w:after="12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V prípade, že sa pozrieme na účastníkov s uzatvorenými zmluvami bez dávkového plánu, môžeme vidieť </w:t>
      </w:r>
      <w:r w:rsidRPr="00057923">
        <w:rPr>
          <w:rFonts w:ascii="Book Antiqua" w:eastAsia="Times New Roman" w:hAnsi="Book Antiqua" w:cs="Times New Roman"/>
          <w:b/>
        </w:rPr>
        <w:t>priemernú nasporenú sumu vo veku 55 – 59 rokov – teda vo veku, v ktorom je pre účastníkov III. piliera možné začať poberať doplnkový výsluhový dôchodok, na úrovni cca 900 – 1 400 eur</w:t>
      </w:r>
      <w:r w:rsidRPr="00057923">
        <w:rPr>
          <w:rFonts w:ascii="Book Antiqua" w:eastAsia="Times New Roman" w:hAnsi="Book Antiqua" w:cs="Times New Roman"/>
        </w:rPr>
        <w:t>. Z vyššie uvedených dôvodov nevieme presne určiť nasporenú sumu účastníkov, ktorí v danom veku splnia okrem vekovej podmienky na nárok na doplnkový výsluhový dôchodok aj podmienku, že zamestnávateľ za daného účastníka platil príspevky z dôvodu výkonu rizikovej práce najmenej 10 rokov.</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V súvislosti s nasporenými sumami, ktorými disponujú účastníci  v súčasnej dobe sa môžeme pozrieť aj na očakávané nasporené sumy a dôchodky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v budúcnosti pri uvažovaní rôznych scenárov obdobia výkonu rizikových prác (a zároveň sporenia), zhodnotenia, výšky príspevku na DDS a podobne. Uvažovaný výnos bol stanovený ako vážený priemer zhodnotenia fondov DDS v rokoch 2009 - 2016 na úrovni 1,86%. Životné minimum a následne aj výška minimálneho dôchodku pre poistenca s 30-timi rokmi dôchodkového poistenia sa každoročne zvyšuje o  infláciu vo výške 2%</w:t>
      </w:r>
      <w:r w:rsidRPr="00057923">
        <w:rPr>
          <w:rFonts w:eastAsia="Times New Roman" w:cs="Times New Roman"/>
          <w:vertAlign w:val="superscript"/>
        </w:rPr>
        <w:footnoteReference w:id="22"/>
      </w:r>
      <w:r w:rsidRPr="00057923">
        <w:rPr>
          <w:rFonts w:ascii="Book Antiqua" w:eastAsia="Times New Roman" w:hAnsi="Book Antiqua" w:cs="Times New Roman"/>
        </w:rPr>
        <w:t xml:space="preserve">. V prognózach predpokladáme, že účastník začal vykonávať rizikovú prácu v roku 2014 a počet rokov výkonu rizikových prác predstavuje počet rokov zostávajúcich do dôchodku, </w:t>
      </w:r>
      <w:proofErr w:type="spellStart"/>
      <w:r w:rsidRPr="00057923">
        <w:rPr>
          <w:rFonts w:ascii="Book Antiqua" w:eastAsia="Times New Roman" w:hAnsi="Book Antiqua" w:cs="Times New Roman"/>
        </w:rPr>
        <w:t>t.j</w:t>
      </w:r>
      <w:proofErr w:type="spellEnd"/>
      <w:r w:rsidRPr="00057923">
        <w:rPr>
          <w:rFonts w:ascii="Book Antiqua" w:eastAsia="Times New Roman" w:hAnsi="Book Antiqua" w:cs="Times New Roman"/>
        </w:rPr>
        <w:t>. buď 10, 15, 20, 25 alebo 30 rokov</w:t>
      </w:r>
      <w:r w:rsidRPr="00057923">
        <w:rPr>
          <w:rFonts w:eastAsia="Times New Roman" w:cs="Times New Roman"/>
          <w:vertAlign w:val="superscript"/>
        </w:rPr>
        <w:footnoteReference w:id="23"/>
      </w:r>
      <w:r w:rsidRPr="00057923">
        <w:rPr>
          <w:rFonts w:ascii="Book Antiqua" w:eastAsia="Times New Roman" w:hAnsi="Book Antiqua" w:cs="Times New Roman"/>
        </w:rPr>
        <w:t xml:space="preserve">. Ďalej uvažujeme vymeriavací základ </w:t>
      </w:r>
      <w:proofErr w:type="spellStart"/>
      <w:r w:rsidRPr="00057923">
        <w:rPr>
          <w:rFonts w:ascii="Book Antiqua" w:eastAsia="Times New Roman" w:hAnsi="Book Antiqua" w:cs="Times New Roman"/>
        </w:rPr>
        <w:t>rizikára</w:t>
      </w:r>
      <w:proofErr w:type="spellEnd"/>
      <w:r w:rsidRPr="00057923">
        <w:rPr>
          <w:rFonts w:ascii="Book Antiqua" w:eastAsia="Times New Roman" w:hAnsi="Book Antiqua" w:cs="Times New Roman"/>
        </w:rPr>
        <w:t xml:space="preserve"> vo výške 135 % priemernej mzdy v  národnom hospodárstve SR</w:t>
      </w:r>
      <w:r w:rsidRPr="00057923">
        <w:rPr>
          <w:rFonts w:ascii="Book Antiqua" w:eastAsia="Times New Roman" w:hAnsi="Book Antiqua" w:cs="Times New Roman"/>
          <w:vertAlign w:val="superscript"/>
        </w:rPr>
        <w:footnoteReference w:id="24"/>
      </w:r>
      <w:r w:rsidRPr="00057923">
        <w:rPr>
          <w:rFonts w:ascii="Book Antiqua" w:eastAsia="Times New Roman" w:hAnsi="Book Antiqua" w:cs="Times New Roman"/>
        </w:rPr>
        <w:t xml:space="preserve">. Vek odchodu do doplnkového výsluhového dôchodku je stanovený na 55 rokov a doba jeho poberania je 5 rokov (minimálne obdobie, počas ktorého je vyplácaný dočasný dôchodok). Na ilustráciu možných získaných nasporených súm ako aj získaných dôchodkov v porovnaní s minimálnym dôchodkom, resp. s výškou životného minima, pri rôznych obdobiach, počas ktorých účastník vykonával rizikovú prácu a zamestnávateľ mu prispieval na DDS uvádzame tabuľku nižšie. </w:t>
      </w:r>
    </w:p>
    <w:p w:rsidR="00057923" w:rsidRPr="00057923" w:rsidRDefault="00057923" w:rsidP="00057923">
      <w:pPr>
        <w:keepNext/>
        <w:spacing w:after="200" w:line="276" w:lineRule="auto"/>
        <w:jc w:val="both"/>
        <w:rPr>
          <w:rFonts w:eastAsia="Times New Roman" w:cs="Times New Roman"/>
          <w:b/>
          <w:bCs/>
          <w:color w:val="4472C4" w:themeColor="accent1"/>
          <w:sz w:val="18"/>
          <w:szCs w:val="18"/>
        </w:rPr>
      </w:pPr>
      <w:r w:rsidRPr="00057923">
        <w:rPr>
          <w:rFonts w:ascii="Book Antiqua" w:eastAsia="Times New Roman" w:hAnsi="Book Antiqua" w:cs="Times New Roman"/>
          <w:b/>
          <w:bCs/>
        </w:rPr>
        <w:t>Tabuľka 19:</w:t>
      </w:r>
      <w:r w:rsidRPr="00057923">
        <w:rPr>
          <w:rFonts w:ascii="Book Antiqua" w:eastAsia="Times New Roman" w:hAnsi="Book Antiqua" w:cs="Times New Roman"/>
          <w:bCs/>
        </w:rPr>
        <w:t xml:space="preserve"> Hodnoty nasporenej sumy a výšky dôchodku pri rôznych obdobiach sporenia a príspevku zamestnávateľa na úrovni 2 % z odhadovaného vymeriavacieho základu účastníka</w:t>
      </w:r>
    </w:p>
    <w:tbl>
      <w:tblPr>
        <w:tblStyle w:val="Mriekatabuky"/>
        <w:tblW w:w="5000" w:type="pct"/>
        <w:tblLayout w:type="fixed"/>
        <w:tblLook w:val="04A0" w:firstRow="1" w:lastRow="0" w:firstColumn="1" w:lastColumn="0" w:noHBand="0" w:noVBand="1"/>
      </w:tblPr>
      <w:tblGrid>
        <w:gridCol w:w="1864"/>
        <w:gridCol w:w="1438"/>
        <w:gridCol w:w="1439"/>
        <w:gridCol w:w="1441"/>
        <w:gridCol w:w="1439"/>
        <w:gridCol w:w="1439"/>
      </w:tblGrid>
      <w:tr w:rsidR="00057923" w:rsidRPr="00057923" w:rsidTr="00A62543">
        <w:trPr>
          <w:trHeight w:val="300"/>
        </w:trPr>
        <w:tc>
          <w:tcPr>
            <w:tcW w:w="1029" w:type="pct"/>
            <w:noWrap/>
          </w:tcPr>
          <w:p w:rsidR="00057923" w:rsidRPr="00057923" w:rsidRDefault="00057923" w:rsidP="00057923">
            <w:pPr>
              <w:rPr>
                <w:rFonts w:ascii="Book Antiqua" w:hAnsi="Book Antiqua" w:cs="Arial"/>
                <w:b/>
                <w:bCs/>
                <w:color w:val="000000"/>
                <w:sz w:val="20"/>
                <w:szCs w:val="20"/>
              </w:rPr>
            </w:pPr>
            <w:r w:rsidRPr="00057923">
              <w:rPr>
                <w:rFonts w:ascii="Book Antiqua" w:hAnsi="Book Antiqua" w:cs="Arial"/>
                <w:b/>
                <w:bCs/>
                <w:color w:val="000000"/>
                <w:sz w:val="20"/>
                <w:szCs w:val="20"/>
              </w:rPr>
              <w:t>Doba sporenia, výnos</w:t>
            </w:r>
          </w:p>
        </w:tc>
        <w:tc>
          <w:tcPr>
            <w:tcW w:w="794" w:type="pct"/>
            <w:noWrap/>
            <w:hideMark/>
          </w:tcPr>
          <w:p w:rsidR="00057923" w:rsidRPr="00057923" w:rsidRDefault="00057923" w:rsidP="00057923">
            <w:pPr>
              <w:jc w:val="center"/>
              <w:rPr>
                <w:rFonts w:ascii="Book Antiqua" w:hAnsi="Book Antiqua" w:cs="Arial"/>
                <w:b/>
                <w:bCs/>
                <w:color w:val="000000"/>
                <w:sz w:val="20"/>
                <w:szCs w:val="20"/>
              </w:rPr>
            </w:pPr>
            <w:r w:rsidRPr="00057923">
              <w:rPr>
                <w:rFonts w:ascii="Book Antiqua" w:hAnsi="Book Antiqua" w:cs="Arial"/>
                <w:b/>
                <w:bCs/>
                <w:color w:val="000000"/>
                <w:sz w:val="20"/>
                <w:szCs w:val="20"/>
              </w:rPr>
              <w:t>Nasporená suma</w:t>
            </w:r>
          </w:p>
        </w:tc>
        <w:tc>
          <w:tcPr>
            <w:tcW w:w="794" w:type="pct"/>
            <w:noWrap/>
            <w:hideMark/>
          </w:tcPr>
          <w:p w:rsidR="00057923" w:rsidRPr="00057923" w:rsidRDefault="00057923" w:rsidP="00057923">
            <w:pPr>
              <w:jc w:val="center"/>
              <w:rPr>
                <w:rFonts w:ascii="Book Antiqua" w:hAnsi="Book Antiqua" w:cs="Arial"/>
                <w:b/>
                <w:bCs/>
                <w:color w:val="000000"/>
                <w:sz w:val="20"/>
                <w:szCs w:val="20"/>
              </w:rPr>
            </w:pPr>
            <w:r w:rsidRPr="00057923">
              <w:rPr>
                <w:rFonts w:ascii="Book Antiqua" w:hAnsi="Book Antiqua" w:cs="Arial"/>
                <w:b/>
                <w:bCs/>
                <w:color w:val="000000"/>
                <w:sz w:val="20"/>
                <w:szCs w:val="20"/>
              </w:rPr>
              <w:t>Dôchodok</w:t>
            </w:r>
          </w:p>
        </w:tc>
        <w:tc>
          <w:tcPr>
            <w:tcW w:w="795" w:type="pct"/>
            <w:noWrap/>
            <w:hideMark/>
          </w:tcPr>
          <w:p w:rsidR="00057923" w:rsidRPr="00057923" w:rsidRDefault="00057923" w:rsidP="00057923">
            <w:pPr>
              <w:jc w:val="center"/>
              <w:rPr>
                <w:rFonts w:ascii="Book Antiqua" w:hAnsi="Book Antiqua" w:cs="Arial"/>
                <w:b/>
                <w:bCs/>
                <w:color w:val="000000"/>
                <w:sz w:val="20"/>
                <w:szCs w:val="20"/>
              </w:rPr>
            </w:pPr>
            <w:r w:rsidRPr="00057923">
              <w:rPr>
                <w:rFonts w:ascii="Book Antiqua" w:hAnsi="Book Antiqua" w:cs="Arial"/>
                <w:b/>
                <w:bCs/>
                <w:color w:val="000000"/>
                <w:sz w:val="20"/>
                <w:szCs w:val="20"/>
              </w:rPr>
              <w:t>Minimálny dôchodok</w:t>
            </w:r>
          </w:p>
        </w:tc>
        <w:tc>
          <w:tcPr>
            <w:tcW w:w="794" w:type="pct"/>
          </w:tcPr>
          <w:p w:rsidR="00057923" w:rsidRPr="00057923" w:rsidRDefault="00057923" w:rsidP="00057923">
            <w:pPr>
              <w:jc w:val="center"/>
              <w:rPr>
                <w:rFonts w:ascii="Book Antiqua" w:hAnsi="Book Antiqua" w:cs="Arial"/>
                <w:b/>
                <w:bCs/>
                <w:color w:val="000000"/>
                <w:sz w:val="20"/>
                <w:szCs w:val="20"/>
              </w:rPr>
            </w:pPr>
            <w:r w:rsidRPr="00057923">
              <w:rPr>
                <w:rFonts w:ascii="Book Antiqua" w:hAnsi="Book Antiqua" w:cs="Arial"/>
                <w:b/>
                <w:bCs/>
                <w:color w:val="000000"/>
                <w:sz w:val="20"/>
                <w:szCs w:val="20"/>
              </w:rPr>
              <w:t>Životné minimum</w:t>
            </w:r>
          </w:p>
        </w:tc>
        <w:tc>
          <w:tcPr>
            <w:tcW w:w="795" w:type="pct"/>
            <w:noWrap/>
            <w:hideMark/>
          </w:tcPr>
          <w:p w:rsidR="00057923" w:rsidRPr="00057923" w:rsidRDefault="00057923" w:rsidP="00057923">
            <w:pPr>
              <w:jc w:val="center"/>
              <w:rPr>
                <w:rFonts w:ascii="Book Antiqua" w:hAnsi="Book Antiqua" w:cs="Arial"/>
                <w:b/>
                <w:bCs/>
                <w:color w:val="000000"/>
                <w:sz w:val="20"/>
                <w:szCs w:val="20"/>
              </w:rPr>
            </w:pPr>
            <w:r w:rsidRPr="00057923">
              <w:rPr>
                <w:rFonts w:ascii="Book Antiqua" w:hAnsi="Book Antiqua" w:cs="Arial"/>
                <w:b/>
                <w:bCs/>
                <w:color w:val="000000"/>
                <w:sz w:val="20"/>
                <w:szCs w:val="20"/>
              </w:rPr>
              <w:t xml:space="preserve">Odchod do dôchodku </w:t>
            </w:r>
          </w:p>
        </w:tc>
      </w:tr>
      <w:tr w:rsidR="00057923" w:rsidRPr="00057923" w:rsidTr="00A62543">
        <w:trPr>
          <w:trHeight w:val="300"/>
        </w:trPr>
        <w:tc>
          <w:tcPr>
            <w:tcW w:w="1029" w:type="pct"/>
            <w:noWrap/>
            <w:hideMark/>
          </w:tcPr>
          <w:p w:rsidR="00057923" w:rsidRPr="00057923" w:rsidRDefault="00057923" w:rsidP="00057923">
            <w:pPr>
              <w:rPr>
                <w:rFonts w:ascii="Book Antiqua" w:hAnsi="Book Antiqua" w:cs="Arial"/>
                <w:color w:val="000000"/>
                <w:sz w:val="20"/>
                <w:szCs w:val="20"/>
              </w:rPr>
            </w:pPr>
            <w:r w:rsidRPr="00057923">
              <w:rPr>
                <w:rFonts w:ascii="Book Antiqua" w:hAnsi="Book Antiqua" w:cs="Arial"/>
                <w:color w:val="000000"/>
                <w:sz w:val="20"/>
                <w:szCs w:val="20"/>
              </w:rPr>
              <w:t xml:space="preserve">10 r., </w:t>
            </w:r>
          </w:p>
          <w:p w:rsidR="00057923" w:rsidRPr="00057923" w:rsidRDefault="00057923" w:rsidP="00057923">
            <w:pPr>
              <w:rPr>
                <w:rFonts w:ascii="Book Antiqua" w:hAnsi="Book Antiqua" w:cs="Arial"/>
                <w:color w:val="000000"/>
                <w:sz w:val="20"/>
                <w:szCs w:val="20"/>
              </w:rPr>
            </w:pPr>
            <w:r w:rsidRPr="00057923">
              <w:rPr>
                <w:rFonts w:ascii="Book Antiqua" w:hAnsi="Book Antiqua" w:cs="Arial"/>
                <w:color w:val="000000"/>
                <w:sz w:val="20"/>
                <w:szCs w:val="20"/>
              </w:rPr>
              <w:t>výnos 1,86%</w:t>
            </w:r>
          </w:p>
        </w:tc>
        <w:tc>
          <w:tcPr>
            <w:tcW w:w="794"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4 820 €</w:t>
            </w:r>
          </w:p>
        </w:tc>
        <w:tc>
          <w:tcPr>
            <w:tcW w:w="794"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80 €</w:t>
            </w:r>
          </w:p>
        </w:tc>
        <w:tc>
          <w:tcPr>
            <w:tcW w:w="795"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312</w:t>
            </w:r>
            <w:r w:rsidRPr="00057923">
              <w:rPr>
                <w:rFonts w:ascii="Book Antiqua" w:hAnsi="Book Antiqua" w:cs="Arial"/>
                <w:sz w:val="20"/>
                <w:szCs w:val="20"/>
              </w:rPr>
              <w:t xml:space="preserve"> </w:t>
            </w:r>
            <w:r w:rsidRPr="00057923">
              <w:rPr>
                <w:rFonts w:ascii="Book Antiqua" w:hAnsi="Book Antiqua" w:cs="Arial"/>
                <w:color w:val="000000"/>
                <w:sz w:val="20"/>
                <w:szCs w:val="20"/>
              </w:rPr>
              <w:t>€</w:t>
            </w:r>
          </w:p>
        </w:tc>
        <w:tc>
          <w:tcPr>
            <w:tcW w:w="794" w:type="pct"/>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229</w:t>
            </w:r>
            <w:r w:rsidRPr="00057923">
              <w:rPr>
                <w:rFonts w:ascii="Book Antiqua" w:hAnsi="Book Antiqua" w:cs="Arial"/>
                <w:sz w:val="20"/>
                <w:szCs w:val="20"/>
              </w:rPr>
              <w:t xml:space="preserve"> </w:t>
            </w:r>
            <w:r w:rsidRPr="00057923">
              <w:rPr>
                <w:rFonts w:ascii="Book Antiqua" w:hAnsi="Book Antiqua" w:cs="Arial"/>
                <w:color w:val="000000"/>
                <w:sz w:val="20"/>
                <w:szCs w:val="20"/>
              </w:rPr>
              <w:t>€</w:t>
            </w:r>
          </w:p>
        </w:tc>
        <w:tc>
          <w:tcPr>
            <w:tcW w:w="795"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2 024</w:t>
            </w:r>
          </w:p>
        </w:tc>
      </w:tr>
      <w:tr w:rsidR="00057923" w:rsidRPr="00057923" w:rsidTr="00A62543">
        <w:trPr>
          <w:trHeight w:val="300"/>
        </w:trPr>
        <w:tc>
          <w:tcPr>
            <w:tcW w:w="1029" w:type="pct"/>
            <w:noWrap/>
            <w:hideMark/>
          </w:tcPr>
          <w:p w:rsidR="00057923" w:rsidRPr="00057923" w:rsidRDefault="00057923" w:rsidP="00057923">
            <w:pPr>
              <w:rPr>
                <w:rFonts w:ascii="Book Antiqua" w:hAnsi="Book Antiqua" w:cs="Arial"/>
                <w:color w:val="000000"/>
                <w:sz w:val="20"/>
                <w:szCs w:val="20"/>
              </w:rPr>
            </w:pPr>
            <w:r w:rsidRPr="00057923">
              <w:rPr>
                <w:rFonts w:ascii="Book Antiqua" w:hAnsi="Book Antiqua" w:cs="Arial"/>
                <w:color w:val="000000"/>
                <w:sz w:val="20"/>
                <w:szCs w:val="20"/>
              </w:rPr>
              <w:t xml:space="preserve">15 r., </w:t>
            </w:r>
          </w:p>
          <w:p w:rsidR="00057923" w:rsidRPr="00057923" w:rsidRDefault="00057923" w:rsidP="00057923">
            <w:pPr>
              <w:rPr>
                <w:rFonts w:ascii="Book Antiqua" w:hAnsi="Book Antiqua" w:cs="Arial"/>
                <w:color w:val="000000"/>
                <w:sz w:val="20"/>
                <w:szCs w:val="20"/>
              </w:rPr>
            </w:pPr>
            <w:r w:rsidRPr="00057923">
              <w:rPr>
                <w:rFonts w:ascii="Book Antiqua" w:hAnsi="Book Antiqua" w:cs="Arial"/>
                <w:color w:val="000000"/>
                <w:sz w:val="20"/>
                <w:szCs w:val="20"/>
              </w:rPr>
              <w:t>výnos 1,86%</w:t>
            </w:r>
          </w:p>
        </w:tc>
        <w:tc>
          <w:tcPr>
            <w:tcW w:w="794"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8 826 €</w:t>
            </w:r>
          </w:p>
        </w:tc>
        <w:tc>
          <w:tcPr>
            <w:tcW w:w="794"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147 €</w:t>
            </w:r>
          </w:p>
        </w:tc>
        <w:tc>
          <w:tcPr>
            <w:tcW w:w="795"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344</w:t>
            </w:r>
            <w:r w:rsidRPr="00057923">
              <w:rPr>
                <w:rFonts w:ascii="Book Antiqua" w:hAnsi="Book Antiqua" w:cs="Arial"/>
                <w:sz w:val="20"/>
                <w:szCs w:val="20"/>
              </w:rPr>
              <w:t xml:space="preserve"> </w:t>
            </w:r>
            <w:r w:rsidRPr="00057923">
              <w:rPr>
                <w:rFonts w:ascii="Book Antiqua" w:hAnsi="Book Antiqua" w:cs="Arial"/>
                <w:color w:val="000000"/>
                <w:sz w:val="20"/>
                <w:szCs w:val="20"/>
              </w:rPr>
              <w:t>€</w:t>
            </w:r>
          </w:p>
        </w:tc>
        <w:tc>
          <w:tcPr>
            <w:tcW w:w="794" w:type="pct"/>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253</w:t>
            </w:r>
            <w:r w:rsidRPr="00057923">
              <w:rPr>
                <w:rFonts w:ascii="Book Antiqua" w:hAnsi="Book Antiqua" w:cs="Arial"/>
                <w:sz w:val="20"/>
                <w:szCs w:val="20"/>
              </w:rPr>
              <w:t xml:space="preserve"> </w:t>
            </w:r>
            <w:r w:rsidRPr="00057923">
              <w:rPr>
                <w:rFonts w:ascii="Book Antiqua" w:hAnsi="Book Antiqua" w:cs="Arial"/>
                <w:color w:val="000000"/>
                <w:sz w:val="20"/>
                <w:szCs w:val="20"/>
              </w:rPr>
              <w:t>€</w:t>
            </w:r>
          </w:p>
        </w:tc>
        <w:tc>
          <w:tcPr>
            <w:tcW w:w="795"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2 029</w:t>
            </w:r>
          </w:p>
        </w:tc>
      </w:tr>
      <w:tr w:rsidR="00057923" w:rsidRPr="00057923" w:rsidTr="00A62543">
        <w:trPr>
          <w:trHeight w:val="300"/>
        </w:trPr>
        <w:tc>
          <w:tcPr>
            <w:tcW w:w="1029" w:type="pct"/>
            <w:noWrap/>
            <w:hideMark/>
          </w:tcPr>
          <w:p w:rsidR="00057923" w:rsidRPr="00057923" w:rsidRDefault="00057923" w:rsidP="00057923">
            <w:pPr>
              <w:rPr>
                <w:rFonts w:ascii="Book Antiqua" w:hAnsi="Book Antiqua" w:cs="Arial"/>
                <w:color w:val="000000"/>
                <w:sz w:val="20"/>
                <w:szCs w:val="20"/>
              </w:rPr>
            </w:pPr>
            <w:r w:rsidRPr="00057923">
              <w:rPr>
                <w:rFonts w:ascii="Book Antiqua" w:hAnsi="Book Antiqua" w:cs="Arial"/>
                <w:color w:val="000000"/>
                <w:sz w:val="20"/>
                <w:szCs w:val="20"/>
              </w:rPr>
              <w:lastRenderedPageBreak/>
              <w:t xml:space="preserve">20 r., </w:t>
            </w:r>
          </w:p>
          <w:p w:rsidR="00057923" w:rsidRPr="00057923" w:rsidRDefault="00057923" w:rsidP="00057923">
            <w:pPr>
              <w:rPr>
                <w:rFonts w:ascii="Book Antiqua" w:hAnsi="Book Antiqua" w:cs="Arial"/>
                <w:color w:val="000000"/>
                <w:sz w:val="20"/>
                <w:szCs w:val="20"/>
              </w:rPr>
            </w:pPr>
            <w:r w:rsidRPr="00057923">
              <w:rPr>
                <w:rFonts w:ascii="Book Antiqua" w:hAnsi="Book Antiqua" w:cs="Arial"/>
                <w:color w:val="000000"/>
                <w:sz w:val="20"/>
                <w:szCs w:val="20"/>
              </w:rPr>
              <w:t>výnos 1,86%</w:t>
            </w:r>
          </w:p>
        </w:tc>
        <w:tc>
          <w:tcPr>
            <w:tcW w:w="794"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14 153 €</w:t>
            </w:r>
          </w:p>
        </w:tc>
        <w:tc>
          <w:tcPr>
            <w:tcW w:w="794"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236 €</w:t>
            </w:r>
          </w:p>
        </w:tc>
        <w:tc>
          <w:tcPr>
            <w:tcW w:w="795"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380</w:t>
            </w:r>
            <w:r w:rsidRPr="00057923">
              <w:rPr>
                <w:rFonts w:ascii="Book Antiqua" w:hAnsi="Book Antiqua" w:cs="Arial"/>
                <w:sz w:val="20"/>
                <w:szCs w:val="20"/>
              </w:rPr>
              <w:t xml:space="preserve"> </w:t>
            </w:r>
            <w:r w:rsidRPr="00057923">
              <w:rPr>
                <w:rFonts w:ascii="Book Antiqua" w:hAnsi="Book Antiqua" w:cs="Arial"/>
                <w:color w:val="000000"/>
                <w:sz w:val="20"/>
                <w:szCs w:val="20"/>
              </w:rPr>
              <w:t>€</w:t>
            </w:r>
          </w:p>
        </w:tc>
        <w:tc>
          <w:tcPr>
            <w:tcW w:w="794" w:type="pct"/>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279</w:t>
            </w:r>
            <w:r w:rsidRPr="00057923">
              <w:rPr>
                <w:rFonts w:ascii="Book Antiqua" w:hAnsi="Book Antiqua" w:cs="Arial"/>
                <w:sz w:val="20"/>
                <w:szCs w:val="20"/>
              </w:rPr>
              <w:t xml:space="preserve"> </w:t>
            </w:r>
            <w:r w:rsidRPr="00057923">
              <w:rPr>
                <w:rFonts w:ascii="Book Antiqua" w:hAnsi="Book Antiqua" w:cs="Arial"/>
                <w:color w:val="000000"/>
                <w:sz w:val="20"/>
                <w:szCs w:val="20"/>
              </w:rPr>
              <w:t>€</w:t>
            </w:r>
          </w:p>
        </w:tc>
        <w:tc>
          <w:tcPr>
            <w:tcW w:w="795"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2 034</w:t>
            </w:r>
          </w:p>
        </w:tc>
      </w:tr>
      <w:tr w:rsidR="00057923" w:rsidRPr="00057923" w:rsidTr="00A62543">
        <w:trPr>
          <w:trHeight w:val="300"/>
        </w:trPr>
        <w:tc>
          <w:tcPr>
            <w:tcW w:w="1029" w:type="pct"/>
            <w:noWrap/>
            <w:hideMark/>
          </w:tcPr>
          <w:p w:rsidR="00057923" w:rsidRPr="00057923" w:rsidRDefault="00057923" w:rsidP="00057923">
            <w:pPr>
              <w:rPr>
                <w:rFonts w:ascii="Book Antiqua" w:hAnsi="Book Antiqua" w:cs="Arial"/>
                <w:color w:val="000000"/>
                <w:sz w:val="20"/>
                <w:szCs w:val="20"/>
              </w:rPr>
            </w:pPr>
            <w:r w:rsidRPr="00057923">
              <w:rPr>
                <w:rFonts w:ascii="Book Antiqua" w:hAnsi="Book Antiqua" w:cs="Arial"/>
                <w:color w:val="000000"/>
                <w:sz w:val="20"/>
                <w:szCs w:val="20"/>
              </w:rPr>
              <w:t xml:space="preserve">25 r., </w:t>
            </w:r>
          </w:p>
          <w:p w:rsidR="00057923" w:rsidRPr="00057923" w:rsidRDefault="00057923" w:rsidP="00057923">
            <w:pPr>
              <w:rPr>
                <w:rFonts w:ascii="Book Antiqua" w:hAnsi="Book Antiqua" w:cs="Arial"/>
                <w:color w:val="000000"/>
                <w:sz w:val="20"/>
                <w:szCs w:val="20"/>
              </w:rPr>
            </w:pPr>
            <w:r w:rsidRPr="00057923">
              <w:rPr>
                <w:rFonts w:ascii="Book Antiqua" w:hAnsi="Book Antiqua" w:cs="Arial"/>
                <w:color w:val="000000"/>
                <w:sz w:val="20"/>
                <w:szCs w:val="20"/>
              </w:rPr>
              <w:t>výnos 1,86%</w:t>
            </w:r>
          </w:p>
        </w:tc>
        <w:tc>
          <w:tcPr>
            <w:tcW w:w="794"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20 949 €</w:t>
            </w:r>
          </w:p>
        </w:tc>
        <w:tc>
          <w:tcPr>
            <w:tcW w:w="794"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349 €</w:t>
            </w:r>
          </w:p>
        </w:tc>
        <w:tc>
          <w:tcPr>
            <w:tcW w:w="795"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419</w:t>
            </w:r>
            <w:r w:rsidRPr="00057923">
              <w:rPr>
                <w:rFonts w:ascii="Book Antiqua" w:hAnsi="Book Antiqua" w:cs="Arial"/>
                <w:sz w:val="20"/>
                <w:szCs w:val="20"/>
              </w:rPr>
              <w:t xml:space="preserve"> </w:t>
            </w:r>
            <w:r w:rsidRPr="00057923">
              <w:rPr>
                <w:rFonts w:ascii="Book Antiqua" w:hAnsi="Book Antiqua" w:cs="Arial"/>
                <w:color w:val="000000"/>
                <w:sz w:val="20"/>
                <w:szCs w:val="20"/>
              </w:rPr>
              <w:t>€</w:t>
            </w:r>
          </w:p>
        </w:tc>
        <w:tc>
          <w:tcPr>
            <w:tcW w:w="794" w:type="pct"/>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308</w:t>
            </w:r>
            <w:r w:rsidRPr="00057923">
              <w:rPr>
                <w:rFonts w:ascii="Book Antiqua" w:hAnsi="Book Antiqua" w:cs="Arial"/>
                <w:sz w:val="20"/>
                <w:szCs w:val="20"/>
              </w:rPr>
              <w:t xml:space="preserve"> </w:t>
            </w:r>
            <w:r w:rsidRPr="00057923">
              <w:rPr>
                <w:rFonts w:ascii="Book Antiqua" w:hAnsi="Book Antiqua" w:cs="Arial"/>
                <w:color w:val="000000"/>
                <w:sz w:val="20"/>
                <w:szCs w:val="20"/>
              </w:rPr>
              <w:t>€</w:t>
            </w:r>
          </w:p>
        </w:tc>
        <w:tc>
          <w:tcPr>
            <w:tcW w:w="795"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2 039</w:t>
            </w:r>
          </w:p>
        </w:tc>
      </w:tr>
      <w:tr w:rsidR="00057923" w:rsidRPr="00057923" w:rsidTr="00A62543">
        <w:trPr>
          <w:trHeight w:val="300"/>
        </w:trPr>
        <w:tc>
          <w:tcPr>
            <w:tcW w:w="1029" w:type="pct"/>
            <w:noWrap/>
            <w:hideMark/>
          </w:tcPr>
          <w:p w:rsidR="00057923" w:rsidRPr="00057923" w:rsidRDefault="00057923" w:rsidP="00057923">
            <w:pPr>
              <w:rPr>
                <w:rFonts w:ascii="Book Antiqua" w:hAnsi="Book Antiqua" w:cs="Arial"/>
                <w:color w:val="000000"/>
                <w:sz w:val="20"/>
                <w:szCs w:val="20"/>
              </w:rPr>
            </w:pPr>
            <w:r w:rsidRPr="00057923">
              <w:rPr>
                <w:rFonts w:ascii="Book Antiqua" w:hAnsi="Book Antiqua" w:cs="Arial"/>
                <w:color w:val="000000"/>
                <w:sz w:val="20"/>
                <w:szCs w:val="20"/>
              </w:rPr>
              <w:t xml:space="preserve">30 r., </w:t>
            </w:r>
          </w:p>
          <w:p w:rsidR="00057923" w:rsidRPr="00057923" w:rsidRDefault="00057923" w:rsidP="00057923">
            <w:pPr>
              <w:rPr>
                <w:rFonts w:ascii="Book Antiqua" w:hAnsi="Book Antiqua" w:cs="Arial"/>
                <w:color w:val="000000"/>
                <w:sz w:val="20"/>
                <w:szCs w:val="20"/>
              </w:rPr>
            </w:pPr>
            <w:r w:rsidRPr="00057923">
              <w:rPr>
                <w:rFonts w:ascii="Book Antiqua" w:hAnsi="Book Antiqua" w:cs="Arial"/>
                <w:color w:val="000000"/>
                <w:sz w:val="20"/>
                <w:szCs w:val="20"/>
              </w:rPr>
              <w:t>výnos 1,86%</w:t>
            </w:r>
          </w:p>
        </w:tc>
        <w:tc>
          <w:tcPr>
            <w:tcW w:w="794"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29 473 €</w:t>
            </w:r>
          </w:p>
        </w:tc>
        <w:tc>
          <w:tcPr>
            <w:tcW w:w="794"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491 €</w:t>
            </w:r>
          </w:p>
        </w:tc>
        <w:tc>
          <w:tcPr>
            <w:tcW w:w="795"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463</w:t>
            </w:r>
            <w:r w:rsidRPr="00057923">
              <w:rPr>
                <w:rFonts w:ascii="Book Antiqua" w:hAnsi="Book Antiqua" w:cs="Arial"/>
                <w:sz w:val="20"/>
                <w:szCs w:val="20"/>
              </w:rPr>
              <w:t xml:space="preserve"> </w:t>
            </w:r>
            <w:r w:rsidRPr="00057923">
              <w:rPr>
                <w:rFonts w:ascii="Book Antiqua" w:hAnsi="Book Antiqua" w:cs="Arial"/>
                <w:color w:val="000000"/>
                <w:sz w:val="20"/>
                <w:szCs w:val="20"/>
              </w:rPr>
              <w:t>€</w:t>
            </w:r>
          </w:p>
        </w:tc>
        <w:tc>
          <w:tcPr>
            <w:tcW w:w="794" w:type="pct"/>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340</w:t>
            </w:r>
            <w:r w:rsidRPr="00057923">
              <w:rPr>
                <w:rFonts w:ascii="Book Antiqua" w:hAnsi="Book Antiqua" w:cs="Arial"/>
                <w:sz w:val="20"/>
                <w:szCs w:val="20"/>
              </w:rPr>
              <w:t xml:space="preserve"> </w:t>
            </w:r>
            <w:r w:rsidRPr="00057923">
              <w:rPr>
                <w:rFonts w:ascii="Book Antiqua" w:hAnsi="Book Antiqua" w:cs="Arial"/>
                <w:color w:val="000000"/>
                <w:sz w:val="20"/>
                <w:szCs w:val="20"/>
              </w:rPr>
              <w:t>€</w:t>
            </w:r>
          </w:p>
        </w:tc>
        <w:tc>
          <w:tcPr>
            <w:tcW w:w="795" w:type="pct"/>
            <w:noWrap/>
            <w:hideMark/>
          </w:tcPr>
          <w:p w:rsidR="00057923" w:rsidRPr="00057923" w:rsidRDefault="00057923" w:rsidP="00057923">
            <w:pPr>
              <w:jc w:val="center"/>
              <w:rPr>
                <w:rFonts w:ascii="Book Antiqua" w:hAnsi="Book Antiqua" w:cs="Arial"/>
                <w:color w:val="000000"/>
                <w:sz w:val="20"/>
                <w:szCs w:val="20"/>
              </w:rPr>
            </w:pPr>
            <w:r w:rsidRPr="00057923">
              <w:rPr>
                <w:rFonts w:ascii="Book Antiqua" w:hAnsi="Book Antiqua" w:cs="Arial"/>
                <w:color w:val="000000"/>
                <w:sz w:val="20"/>
                <w:szCs w:val="20"/>
              </w:rPr>
              <w:t>2 044</w:t>
            </w:r>
          </w:p>
        </w:tc>
      </w:tr>
    </w:tbl>
    <w:p w:rsidR="00057923" w:rsidRPr="00057923" w:rsidRDefault="00057923" w:rsidP="00057923">
      <w:pPr>
        <w:spacing w:after="200" w:line="276" w:lineRule="auto"/>
        <w:rPr>
          <w:rFonts w:ascii="Book Antiqua" w:eastAsia="Times New Roman" w:hAnsi="Book Antiqua" w:cs="Times New Roman"/>
          <w:i/>
          <w:sz w:val="20"/>
          <w:szCs w:val="18"/>
        </w:rPr>
      </w:pPr>
      <w:r w:rsidRPr="00057923">
        <w:rPr>
          <w:rFonts w:ascii="Book Antiqua" w:eastAsia="Times New Roman" w:hAnsi="Book Antiqua" w:cs="Times New Roman"/>
          <w:i/>
          <w:sz w:val="20"/>
          <w:szCs w:val="18"/>
        </w:rPr>
        <w:t>Zdroj: prepočty MPSVR SR</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ab/>
        <w:t>Je zrejmé, že za obdobie 10 rokov priemerný účastník vykonávajúci rizikovú prácu si nie je schopný nasporiť adekvátnu sumu, ktorá by mu zabezpečila príjem na úrovni životného minima alebo minimálneho dôchodku po dobu 5 rokov. V tejto súvislosti je potrebné zdôrazniť, že stále väčšina účastníkov má nárok na určité jednorazové dávky, ktoré uvedené nasporené sumy môžu ešte výrazne znižovať.</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Vhodnou alternatívou ako si zabezpečiť vyšší doplnkový výsluhový dôchodok bez nutnosti výrazne dlhšieho obdobia sporenia a výkonu rizikových prác je zvýšenie príspevku vyjadreného ako percento z vymeriavacieho základu. Rovnako dôležitý je aj výber správnej investičnej stratégie vzhľadom na vek sporiteľa. V nasledujúcej tabuľke uvádzame rôzne scenáre výšky nasporenej sumy a následne 5 - ročného dočasného doplnkového dôchodku v prípade zvýšenia príspevku zamestnávateľa na 3% z vymeriavacieho základu </w:t>
      </w:r>
      <w:proofErr w:type="spellStart"/>
      <w:r w:rsidRPr="00057923">
        <w:rPr>
          <w:rFonts w:ascii="Book Antiqua" w:eastAsia="Times New Roman" w:hAnsi="Book Antiqua" w:cs="Times New Roman"/>
        </w:rPr>
        <w:t>rizikára</w:t>
      </w:r>
      <w:proofErr w:type="spellEnd"/>
      <w:r w:rsidRPr="00057923">
        <w:rPr>
          <w:rFonts w:ascii="Book Antiqua" w:eastAsia="Times New Roman" w:hAnsi="Book Antiqua" w:cs="Times New Roman"/>
        </w:rPr>
        <w:t xml:space="preserve"> pri výnosnosti fondov na úrovni váženého priemeru zhodnotenia fondov DDS v rokoch 2009 – 2016 (</w:t>
      </w:r>
      <w:proofErr w:type="spellStart"/>
      <w:r w:rsidRPr="00057923">
        <w:rPr>
          <w:rFonts w:ascii="Book Antiqua" w:eastAsia="Times New Roman" w:hAnsi="Book Antiqua" w:cs="Times New Roman"/>
        </w:rPr>
        <w:t>t.j</w:t>
      </w:r>
      <w:proofErr w:type="spellEnd"/>
      <w:r w:rsidRPr="00057923">
        <w:rPr>
          <w:rFonts w:ascii="Book Antiqua" w:eastAsia="Times New Roman" w:hAnsi="Book Antiqua" w:cs="Times New Roman"/>
        </w:rPr>
        <w:t>. 1,86%), priemeru dlhopisových fondov v II. pilieri (</w:t>
      </w:r>
      <w:proofErr w:type="spellStart"/>
      <w:r w:rsidRPr="00057923">
        <w:rPr>
          <w:rFonts w:ascii="Book Antiqua" w:eastAsia="Times New Roman" w:hAnsi="Book Antiqua" w:cs="Times New Roman"/>
        </w:rPr>
        <w:t>t.j</w:t>
      </w:r>
      <w:proofErr w:type="spellEnd"/>
      <w:r w:rsidRPr="00057923">
        <w:rPr>
          <w:rFonts w:ascii="Book Antiqua" w:eastAsia="Times New Roman" w:hAnsi="Book Antiqua" w:cs="Times New Roman"/>
        </w:rPr>
        <w:t>. 2,13%) a priemeru akciových fondov v II. pilieri (</w:t>
      </w:r>
      <w:proofErr w:type="spellStart"/>
      <w:r w:rsidRPr="00057923">
        <w:rPr>
          <w:rFonts w:ascii="Book Antiqua" w:eastAsia="Times New Roman" w:hAnsi="Book Antiqua" w:cs="Times New Roman"/>
        </w:rPr>
        <w:t>t.j</w:t>
      </w:r>
      <w:proofErr w:type="spellEnd"/>
      <w:r w:rsidRPr="00057923">
        <w:rPr>
          <w:rFonts w:ascii="Book Antiqua" w:eastAsia="Times New Roman" w:hAnsi="Book Antiqua" w:cs="Times New Roman"/>
        </w:rPr>
        <w:t xml:space="preserve">. 3,13%). </w:t>
      </w:r>
    </w:p>
    <w:p w:rsidR="00057923" w:rsidRPr="00057923" w:rsidRDefault="00057923" w:rsidP="00057923">
      <w:pPr>
        <w:keepNext/>
        <w:spacing w:after="200" w:line="276" w:lineRule="auto"/>
        <w:jc w:val="both"/>
        <w:rPr>
          <w:rFonts w:ascii="Book Antiqua" w:eastAsia="Times New Roman" w:hAnsi="Book Antiqua" w:cs="Times New Roman"/>
          <w:b/>
          <w:bCs/>
          <w:color w:val="4472C4" w:themeColor="accent1"/>
          <w:sz w:val="18"/>
          <w:szCs w:val="18"/>
        </w:rPr>
      </w:pPr>
      <w:r w:rsidRPr="00057923">
        <w:rPr>
          <w:rFonts w:ascii="Book Antiqua" w:eastAsia="Times New Roman" w:hAnsi="Book Antiqua" w:cs="Times New Roman"/>
          <w:b/>
          <w:bCs/>
        </w:rPr>
        <w:t>Tabuľka 20:</w:t>
      </w:r>
      <w:r w:rsidRPr="00057923">
        <w:rPr>
          <w:rFonts w:ascii="Book Antiqua" w:eastAsia="Times New Roman" w:hAnsi="Book Antiqua" w:cs="Times New Roman"/>
          <w:bCs/>
        </w:rPr>
        <w:t xml:space="preserve"> Hodnoty nasporenej sumy a výšky dôchodku pri rôznych obdobiach sporenia a príspevku zamestnávateľa na úrovni 3 % z odhadovaného vymeriavacieho základu účastníka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42"/>
        <w:gridCol w:w="1422"/>
        <w:gridCol w:w="1424"/>
        <w:gridCol w:w="1424"/>
        <w:gridCol w:w="1424"/>
        <w:gridCol w:w="1424"/>
      </w:tblGrid>
      <w:tr w:rsidR="00057923" w:rsidRPr="00057923" w:rsidTr="00A62543">
        <w:trPr>
          <w:trHeight w:val="631"/>
        </w:trPr>
        <w:tc>
          <w:tcPr>
            <w:tcW w:w="1071" w:type="pct"/>
            <w:noWrap/>
            <w:vAlign w:val="center"/>
          </w:tcPr>
          <w:p w:rsidR="00057923" w:rsidRPr="00057923" w:rsidRDefault="00057923" w:rsidP="00057923">
            <w:pPr>
              <w:spacing w:after="0" w:line="276" w:lineRule="auto"/>
              <w:rPr>
                <w:rFonts w:ascii="Book Antiqua" w:eastAsia="Times New Roman" w:hAnsi="Book Antiqua" w:cs="Arial"/>
                <w:b/>
                <w:bCs/>
                <w:color w:val="000000"/>
                <w:sz w:val="20"/>
                <w:szCs w:val="20"/>
                <w:lang w:eastAsia="sk-SK"/>
              </w:rPr>
            </w:pPr>
            <w:r w:rsidRPr="00057923">
              <w:rPr>
                <w:rFonts w:ascii="Book Antiqua" w:eastAsia="Times New Roman" w:hAnsi="Book Antiqua" w:cs="Arial"/>
                <w:b/>
                <w:bCs/>
                <w:color w:val="000000"/>
                <w:sz w:val="20"/>
                <w:szCs w:val="20"/>
                <w:lang w:eastAsia="sk-SK"/>
              </w:rPr>
              <w:t>Doba sporenia, výnos</w:t>
            </w:r>
          </w:p>
        </w:tc>
        <w:tc>
          <w:tcPr>
            <w:tcW w:w="785" w:type="pct"/>
            <w:noWrap/>
            <w:vAlign w:val="center"/>
            <w:hideMark/>
          </w:tcPr>
          <w:p w:rsidR="00057923" w:rsidRPr="00057923" w:rsidRDefault="00057923" w:rsidP="00057923">
            <w:pPr>
              <w:spacing w:after="0" w:line="276" w:lineRule="auto"/>
              <w:jc w:val="center"/>
              <w:rPr>
                <w:rFonts w:ascii="Book Antiqua" w:eastAsia="Times New Roman" w:hAnsi="Book Antiqua" w:cs="Arial"/>
                <w:b/>
                <w:color w:val="000000"/>
                <w:sz w:val="20"/>
                <w:szCs w:val="20"/>
                <w:lang w:eastAsia="sk-SK"/>
              </w:rPr>
            </w:pPr>
            <w:r w:rsidRPr="00057923">
              <w:rPr>
                <w:rFonts w:ascii="Book Antiqua" w:eastAsia="Times New Roman" w:hAnsi="Book Antiqua" w:cs="Arial"/>
                <w:b/>
                <w:color w:val="000000"/>
                <w:sz w:val="20"/>
                <w:szCs w:val="20"/>
                <w:lang w:eastAsia="sk-SK"/>
              </w:rPr>
              <w:t>Nasporená suma</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b/>
                <w:color w:val="000000"/>
                <w:sz w:val="20"/>
                <w:szCs w:val="20"/>
                <w:lang w:eastAsia="sk-SK"/>
              </w:rPr>
            </w:pPr>
            <w:r w:rsidRPr="00057923">
              <w:rPr>
                <w:rFonts w:ascii="Book Antiqua" w:eastAsia="Times New Roman" w:hAnsi="Book Antiqua" w:cs="Arial"/>
                <w:b/>
                <w:color w:val="000000"/>
                <w:sz w:val="20"/>
                <w:szCs w:val="20"/>
                <w:lang w:eastAsia="sk-SK"/>
              </w:rPr>
              <w:t>Dôchodok</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b/>
                <w:color w:val="000000"/>
                <w:sz w:val="20"/>
                <w:szCs w:val="20"/>
                <w:lang w:eastAsia="sk-SK"/>
              </w:rPr>
            </w:pPr>
            <w:r w:rsidRPr="00057923">
              <w:rPr>
                <w:rFonts w:ascii="Book Antiqua" w:eastAsia="Times New Roman" w:hAnsi="Book Antiqua" w:cs="Arial"/>
                <w:b/>
                <w:color w:val="000000"/>
                <w:sz w:val="20"/>
                <w:szCs w:val="20"/>
                <w:lang w:eastAsia="sk-SK"/>
              </w:rPr>
              <w:t>Minimálny dôchodok</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b/>
                <w:color w:val="000000"/>
                <w:sz w:val="20"/>
                <w:szCs w:val="20"/>
                <w:lang w:eastAsia="sk-SK"/>
              </w:rPr>
            </w:pPr>
            <w:r w:rsidRPr="00057923">
              <w:rPr>
                <w:rFonts w:ascii="Book Antiqua" w:eastAsia="Times New Roman" w:hAnsi="Book Antiqua" w:cs="Arial"/>
                <w:b/>
                <w:color w:val="000000"/>
                <w:sz w:val="20"/>
                <w:szCs w:val="20"/>
                <w:lang w:eastAsia="sk-SK"/>
              </w:rPr>
              <w:t>Životné minimum</w:t>
            </w:r>
          </w:p>
        </w:tc>
        <w:tc>
          <w:tcPr>
            <w:tcW w:w="786" w:type="pct"/>
            <w:vAlign w:val="center"/>
          </w:tcPr>
          <w:p w:rsidR="00057923" w:rsidRPr="00057923" w:rsidRDefault="00057923" w:rsidP="00057923">
            <w:pPr>
              <w:spacing w:after="0" w:line="276" w:lineRule="auto"/>
              <w:jc w:val="center"/>
              <w:rPr>
                <w:rFonts w:ascii="Book Antiqua" w:eastAsia="Times New Roman" w:hAnsi="Book Antiqua" w:cs="Arial"/>
                <w:b/>
                <w:color w:val="000000"/>
                <w:sz w:val="20"/>
                <w:szCs w:val="20"/>
                <w:lang w:eastAsia="sk-SK"/>
              </w:rPr>
            </w:pPr>
            <w:r w:rsidRPr="00057923">
              <w:rPr>
                <w:rFonts w:ascii="Book Antiqua" w:eastAsia="Times New Roman" w:hAnsi="Book Antiqua" w:cs="Arial"/>
                <w:b/>
                <w:color w:val="000000"/>
                <w:sz w:val="20"/>
                <w:szCs w:val="20"/>
                <w:lang w:eastAsia="sk-SK"/>
              </w:rPr>
              <w:t>Odchod do dôchodku</w:t>
            </w:r>
          </w:p>
        </w:tc>
      </w:tr>
      <w:tr w:rsidR="00057923" w:rsidRPr="00057923" w:rsidTr="00A62543">
        <w:trPr>
          <w:trHeight w:val="300"/>
        </w:trPr>
        <w:tc>
          <w:tcPr>
            <w:tcW w:w="1071" w:type="pct"/>
            <w:noWrap/>
            <w:vAlign w:val="bottom"/>
            <w:hideMark/>
          </w:tcPr>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10 r., </w:t>
            </w:r>
          </w:p>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výnos 1,86%</w:t>
            </w:r>
          </w:p>
        </w:tc>
        <w:tc>
          <w:tcPr>
            <w:tcW w:w="785"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6 206 €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103 €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312 €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229 €</w:t>
            </w:r>
          </w:p>
        </w:tc>
        <w:tc>
          <w:tcPr>
            <w:tcW w:w="786" w:type="pct"/>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2 024</w:t>
            </w:r>
          </w:p>
        </w:tc>
      </w:tr>
      <w:tr w:rsidR="00057923" w:rsidRPr="00057923" w:rsidTr="00A62543">
        <w:trPr>
          <w:trHeight w:val="300"/>
        </w:trPr>
        <w:tc>
          <w:tcPr>
            <w:tcW w:w="1071" w:type="pct"/>
            <w:noWrap/>
            <w:vAlign w:val="bottom"/>
            <w:hideMark/>
          </w:tcPr>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15 r., </w:t>
            </w:r>
          </w:p>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výnos 1,86%</w:t>
            </w:r>
          </w:p>
        </w:tc>
        <w:tc>
          <w:tcPr>
            <w:tcW w:w="785"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12 131 €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202 €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344 €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253 €</w:t>
            </w:r>
          </w:p>
        </w:tc>
        <w:tc>
          <w:tcPr>
            <w:tcW w:w="786" w:type="pct"/>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2 029</w:t>
            </w:r>
          </w:p>
        </w:tc>
      </w:tr>
      <w:tr w:rsidR="00057923" w:rsidRPr="00057923" w:rsidTr="00A62543">
        <w:trPr>
          <w:trHeight w:val="300"/>
        </w:trPr>
        <w:tc>
          <w:tcPr>
            <w:tcW w:w="1071" w:type="pct"/>
            <w:noWrap/>
            <w:vAlign w:val="bottom"/>
            <w:hideMark/>
          </w:tcPr>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20 r., </w:t>
            </w:r>
          </w:p>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výnos 1,86%</w:t>
            </w:r>
          </w:p>
        </w:tc>
        <w:tc>
          <w:tcPr>
            <w:tcW w:w="785"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20 028 €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334 €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380 €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279 €</w:t>
            </w:r>
          </w:p>
        </w:tc>
        <w:tc>
          <w:tcPr>
            <w:tcW w:w="786" w:type="pct"/>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2 034</w:t>
            </w:r>
          </w:p>
        </w:tc>
      </w:tr>
      <w:tr w:rsidR="00057923" w:rsidRPr="00057923" w:rsidTr="00A62543">
        <w:trPr>
          <w:trHeight w:val="300"/>
        </w:trPr>
        <w:tc>
          <w:tcPr>
            <w:tcW w:w="1071" w:type="pct"/>
            <w:noWrap/>
            <w:vAlign w:val="bottom"/>
            <w:hideMark/>
          </w:tcPr>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25 r., </w:t>
            </w:r>
          </w:p>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výnos 1,86%</w:t>
            </w:r>
          </w:p>
        </w:tc>
        <w:tc>
          <w:tcPr>
            <w:tcW w:w="785"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30 120 €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502 €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419 €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308 €</w:t>
            </w:r>
          </w:p>
        </w:tc>
        <w:tc>
          <w:tcPr>
            <w:tcW w:w="786" w:type="pct"/>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2 039</w:t>
            </w:r>
          </w:p>
        </w:tc>
      </w:tr>
      <w:tr w:rsidR="00057923" w:rsidRPr="00057923" w:rsidTr="00A62543">
        <w:trPr>
          <w:trHeight w:val="300"/>
        </w:trPr>
        <w:tc>
          <w:tcPr>
            <w:tcW w:w="1071" w:type="pct"/>
            <w:noWrap/>
            <w:vAlign w:val="bottom"/>
            <w:hideMark/>
          </w:tcPr>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30 r., </w:t>
            </w:r>
          </w:p>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výnos 1,86%</w:t>
            </w:r>
          </w:p>
        </w:tc>
        <w:tc>
          <w:tcPr>
            <w:tcW w:w="785"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42 793 €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713 €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463 €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340 €</w:t>
            </w:r>
          </w:p>
        </w:tc>
        <w:tc>
          <w:tcPr>
            <w:tcW w:w="786" w:type="pct"/>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2 044</w:t>
            </w:r>
          </w:p>
        </w:tc>
      </w:tr>
      <w:tr w:rsidR="00057923" w:rsidRPr="00057923" w:rsidTr="00A62543">
        <w:trPr>
          <w:trHeight w:val="300"/>
        </w:trPr>
        <w:tc>
          <w:tcPr>
            <w:tcW w:w="1071" w:type="pct"/>
            <w:noWrap/>
            <w:vAlign w:val="bottom"/>
            <w:hideMark/>
          </w:tcPr>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10 r., </w:t>
            </w:r>
          </w:p>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výnos 2,13%</w:t>
            </w:r>
          </w:p>
        </w:tc>
        <w:tc>
          <w:tcPr>
            <w:tcW w:w="785"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6 259 €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104 €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312 €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229 €</w:t>
            </w:r>
          </w:p>
        </w:tc>
        <w:tc>
          <w:tcPr>
            <w:tcW w:w="786" w:type="pct"/>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2 024</w:t>
            </w:r>
          </w:p>
        </w:tc>
      </w:tr>
      <w:tr w:rsidR="00057923" w:rsidRPr="00057923" w:rsidTr="00A62543">
        <w:trPr>
          <w:trHeight w:val="300"/>
        </w:trPr>
        <w:tc>
          <w:tcPr>
            <w:tcW w:w="1071" w:type="pct"/>
            <w:noWrap/>
            <w:vAlign w:val="bottom"/>
            <w:hideMark/>
          </w:tcPr>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15 r., </w:t>
            </w:r>
          </w:p>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výnos 2,13%</w:t>
            </w:r>
          </w:p>
        </w:tc>
        <w:tc>
          <w:tcPr>
            <w:tcW w:w="785"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12 296 €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205 €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344 €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253 €</w:t>
            </w:r>
          </w:p>
        </w:tc>
        <w:tc>
          <w:tcPr>
            <w:tcW w:w="786" w:type="pct"/>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2 029</w:t>
            </w:r>
          </w:p>
        </w:tc>
      </w:tr>
      <w:tr w:rsidR="00057923" w:rsidRPr="00057923" w:rsidTr="00A62543">
        <w:trPr>
          <w:trHeight w:val="300"/>
        </w:trPr>
        <w:tc>
          <w:tcPr>
            <w:tcW w:w="1071" w:type="pct"/>
            <w:noWrap/>
            <w:vAlign w:val="bottom"/>
            <w:hideMark/>
          </w:tcPr>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20 r., </w:t>
            </w:r>
          </w:p>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výnos 2,13%</w:t>
            </w:r>
          </w:p>
        </w:tc>
        <w:tc>
          <w:tcPr>
            <w:tcW w:w="785" w:type="pct"/>
            <w:noWrap/>
            <w:vAlign w:val="center"/>
            <w:hideMark/>
          </w:tcPr>
          <w:p w:rsidR="00057923" w:rsidRPr="00057923" w:rsidRDefault="00057923" w:rsidP="00057923">
            <w:pPr>
              <w:spacing w:after="0" w:line="276" w:lineRule="auto"/>
              <w:jc w:val="center"/>
              <w:rPr>
                <w:rFonts w:ascii="Book Antiqua" w:eastAsia="Times New Roman" w:hAnsi="Book Antiqua" w:cs="Times New Roman"/>
              </w:rPr>
            </w:pPr>
            <w:r w:rsidRPr="00057923">
              <w:rPr>
                <w:rFonts w:ascii="Book Antiqua" w:eastAsia="Times New Roman" w:hAnsi="Book Antiqua" w:cs="Arial"/>
                <w:color w:val="000000"/>
                <w:sz w:val="20"/>
                <w:szCs w:val="20"/>
                <w:lang w:eastAsia="sk-SK"/>
              </w:rPr>
              <w:t>20 399 €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340 €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380 €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279 €</w:t>
            </w:r>
          </w:p>
        </w:tc>
        <w:tc>
          <w:tcPr>
            <w:tcW w:w="786" w:type="pct"/>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2 034</w:t>
            </w:r>
          </w:p>
        </w:tc>
      </w:tr>
      <w:tr w:rsidR="00057923" w:rsidRPr="00057923" w:rsidTr="00A62543">
        <w:trPr>
          <w:trHeight w:val="300"/>
        </w:trPr>
        <w:tc>
          <w:tcPr>
            <w:tcW w:w="1071" w:type="pct"/>
            <w:noWrap/>
            <w:vAlign w:val="bottom"/>
            <w:hideMark/>
          </w:tcPr>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25 r., </w:t>
            </w:r>
          </w:p>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výnos 2,13%</w:t>
            </w:r>
          </w:p>
        </w:tc>
        <w:tc>
          <w:tcPr>
            <w:tcW w:w="785"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30 827 €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514 €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419 €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308 €</w:t>
            </w:r>
          </w:p>
        </w:tc>
        <w:tc>
          <w:tcPr>
            <w:tcW w:w="786" w:type="pct"/>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2 039</w:t>
            </w:r>
          </w:p>
        </w:tc>
      </w:tr>
      <w:tr w:rsidR="00057923" w:rsidRPr="00057923" w:rsidTr="00A62543">
        <w:trPr>
          <w:trHeight w:val="300"/>
        </w:trPr>
        <w:tc>
          <w:tcPr>
            <w:tcW w:w="1071" w:type="pct"/>
            <w:noWrap/>
            <w:vAlign w:val="bottom"/>
            <w:hideMark/>
          </w:tcPr>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lastRenderedPageBreak/>
              <w:t xml:space="preserve">30 r., </w:t>
            </w:r>
          </w:p>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výnos 2,13%</w:t>
            </w:r>
          </w:p>
        </w:tc>
        <w:tc>
          <w:tcPr>
            <w:tcW w:w="785"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44 011 €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734 €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463 €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Times New Roman"/>
              </w:rPr>
            </w:pPr>
            <w:r w:rsidRPr="00057923">
              <w:rPr>
                <w:rFonts w:ascii="Book Antiqua" w:eastAsia="Times New Roman" w:hAnsi="Book Antiqua" w:cs="Arial"/>
                <w:color w:val="000000"/>
                <w:sz w:val="20"/>
                <w:szCs w:val="20"/>
                <w:lang w:eastAsia="sk-SK"/>
              </w:rPr>
              <w:t>340 €</w:t>
            </w:r>
          </w:p>
        </w:tc>
        <w:tc>
          <w:tcPr>
            <w:tcW w:w="786" w:type="pct"/>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2 044</w:t>
            </w:r>
          </w:p>
        </w:tc>
      </w:tr>
      <w:tr w:rsidR="00057923" w:rsidRPr="00057923" w:rsidTr="00A62543">
        <w:trPr>
          <w:trHeight w:val="300"/>
        </w:trPr>
        <w:tc>
          <w:tcPr>
            <w:tcW w:w="1071" w:type="pct"/>
            <w:noWrap/>
            <w:vAlign w:val="bottom"/>
            <w:hideMark/>
          </w:tcPr>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10 r., </w:t>
            </w:r>
          </w:p>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výnos 3,13%</w:t>
            </w:r>
          </w:p>
        </w:tc>
        <w:tc>
          <w:tcPr>
            <w:tcW w:w="785"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6 462 €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108 €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312 €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229 €</w:t>
            </w:r>
          </w:p>
        </w:tc>
        <w:tc>
          <w:tcPr>
            <w:tcW w:w="786" w:type="pct"/>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2 024</w:t>
            </w:r>
          </w:p>
        </w:tc>
      </w:tr>
      <w:tr w:rsidR="00057923" w:rsidRPr="00057923" w:rsidTr="00A62543">
        <w:trPr>
          <w:trHeight w:val="300"/>
        </w:trPr>
        <w:tc>
          <w:tcPr>
            <w:tcW w:w="1071" w:type="pct"/>
            <w:noWrap/>
            <w:vAlign w:val="bottom"/>
            <w:hideMark/>
          </w:tcPr>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15 r., </w:t>
            </w:r>
          </w:p>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výnos 3,13%</w:t>
            </w:r>
          </w:p>
        </w:tc>
        <w:tc>
          <w:tcPr>
            <w:tcW w:w="785"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12 938 €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216 €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344 €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253 €</w:t>
            </w:r>
          </w:p>
        </w:tc>
        <w:tc>
          <w:tcPr>
            <w:tcW w:w="786" w:type="pct"/>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2 029</w:t>
            </w:r>
          </w:p>
        </w:tc>
      </w:tr>
      <w:tr w:rsidR="00057923" w:rsidRPr="00057923" w:rsidTr="00A62543">
        <w:trPr>
          <w:trHeight w:val="300"/>
        </w:trPr>
        <w:tc>
          <w:tcPr>
            <w:tcW w:w="1071" w:type="pct"/>
            <w:noWrap/>
            <w:vAlign w:val="bottom"/>
            <w:hideMark/>
          </w:tcPr>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20 r., </w:t>
            </w:r>
          </w:p>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výnos 3,13%</w:t>
            </w:r>
          </w:p>
        </w:tc>
        <w:tc>
          <w:tcPr>
            <w:tcW w:w="785"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21 874 €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365 €</w:t>
            </w:r>
          </w:p>
        </w:tc>
        <w:tc>
          <w:tcPr>
            <w:tcW w:w="786"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380 €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279 €</w:t>
            </w:r>
          </w:p>
        </w:tc>
        <w:tc>
          <w:tcPr>
            <w:tcW w:w="786" w:type="pct"/>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2 034</w:t>
            </w:r>
          </w:p>
        </w:tc>
      </w:tr>
      <w:tr w:rsidR="00057923" w:rsidRPr="00057923" w:rsidTr="00A62543">
        <w:trPr>
          <w:trHeight w:val="300"/>
        </w:trPr>
        <w:tc>
          <w:tcPr>
            <w:tcW w:w="1071" w:type="pct"/>
            <w:noWrap/>
            <w:vAlign w:val="bottom"/>
            <w:hideMark/>
          </w:tcPr>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25 r., </w:t>
            </w:r>
          </w:p>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výnos 3,13%</w:t>
            </w:r>
          </w:p>
        </w:tc>
        <w:tc>
          <w:tcPr>
            <w:tcW w:w="785"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33 698 €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562 €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419 €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308 €</w:t>
            </w:r>
          </w:p>
        </w:tc>
        <w:tc>
          <w:tcPr>
            <w:tcW w:w="786" w:type="pct"/>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2 039</w:t>
            </w:r>
          </w:p>
        </w:tc>
      </w:tr>
      <w:tr w:rsidR="00057923" w:rsidRPr="00057923" w:rsidTr="00A62543">
        <w:trPr>
          <w:trHeight w:val="300"/>
        </w:trPr>
        <w:tc>
          <w:tcPr>
            <w:tcW w:w="1071" w:type="pct"/>
            <w:noWrap/>
            <w:vAlign w:val="bottom"/>
            <w:hideMark/>
          </w:tcPr>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 xml:space="preserve">30 r., </w:t>
            </w:r>
          </w:p>
          <w:p w:rsidR="00057923" w:rsidRPr="00057923" w:rsidRDefault="00057923" w:rsidP="00057923">
            <w:pPr>
              <w:spacing w:after="0" w:line="276" w:lineRule="auto"/>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výnos 3,13%</w:t>
            </w:r>
          </w:p>
        </w:tc>
        <w:tc>
          <w:tcPr>
            <w:tcW w:w="785" w:type="pct"/>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49 055 €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818 €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463 €</w:t>
            </w:r>
          </w:p>
        </w:tc>
        <w:tc>
          <w:tcPr>
            <w:tcW w:w="786" w:type="pct"/>
            <w:shd w:val="clear" w:color="auto" w:fill="F2F2F2" w:themeFill="background1" w:themeFillShade="F2"/>
            <w:noWrap/>
            <w:vAlign w:val="center"/>
            <w:hideMark/>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340 €</w:t>
            </w:r>
          </w:p>
        </w:tc>
        <w:tc>
          <w:tcPr>
            <w:tcW w:w="786" w:type="pct"/>
            <w:vAlign w:val="center"/>
          </w:tcPr>
          <w:p w:rsidR="00057923" w:rsidRPr="00057923" w:rsidRDefault="00057923" w:rsidP="00057923">
            <w:pPr>
              <w:spacing w:after="0" w:line="276" w:lineRule="auto"/>
              <w:jc w:val="center"/>
              <w:rPr>
                <w:rFonts w:ascii="Book Antiqua" w:eastAsia="Times New Roman" w:hAnsi="Book Antiqua" w:cs="Arial"/>
                <w:color w:val="000000"/>
                <w:sz w:val="20"/>
                <w:szCs w:val="20"/>
                <w:lang w:eastAsia="sk-SK"/>
              </w:rPr>
            </w:pPr>
            <w:r w:rsidRPr="00057923">
              <w:rPr>
                <w:rFonts w:ascii="Book Antiqua" w:eastAsia="Times New Roman" w:hAnsi="Book Antiqua" w:cs="Arial"/>
                <w:color w:val="000000"/>
                <w:sz w:val="20"/>
                <w:szCs w:val="20"/>
                <w:lang w:eastAsia="sk-SK"/>
              </w:rPr>
              <w:t>2 044</w:t>
            </w:r>
          </w:p>
        </w:tc>
      </w:tr>
    </w:tbl>
    <w:p w:rsidR="00057923" w:rsidRPr="00057923" w:rsidRDefault="00057923" w:rsidP="00057923">
      <w:pPr>
        <w:spacing w:after="200" w:line="276" w:lineRule="auto"/>
        <w:jc w:val="both"/>
        <w:rPr>
          <w:rFonts w:ascii="Book Antiqua" w:eastAsia="Times New Roman" w:hAnsi="Book Antiqua" w:cs="Times New Roman"/>
        </w:rPr>
      </w:pPr>
      <w:r w:rsidRPr="00057923">
        <w:rPr>
          <w:rFonts w:ascii="Book Antiqua" w:eastAsia="Times New Roman" w:hAnsi="Book Antiqua" w:cs="Times New Roman"/>
          <w:i/>
          <w:sz w:val="20"/>
          <w:szCs w:val="20"/>
        </w:rPr>
        <w:t>Zdroj: prepočty MPSVR SR</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Z uvedených tabuliek vyplýva, že v prípade zachovania povinného príspevku zamestnávateľa na úrovni 2 % z vymeriavacieho základu </w:t>
      </w:r>
      <w:proofErr w:type="spellStart"/>
      <w:r w:rsidRPr="00057923">
        <w:rPr>
          <w:rFonts w:ascii="Book Antiqua" w:eastAsia="Times New Roman" w:hAnsi="Book Antiqua" w:cs="Times New Roman"/>
        </w:rPr>
        <w:t>rizikára</w:t>
      </w:r>
      <w:proofErr w:type="spellEnd"/>
      <w:r w:rsidRPr="00057923">
        <w:rPr>
          <w:rFonts w:ascii="Book Antiqua" w:eastAsia="Times New Roman" w:hAnsi="Book Antiqua" w:cs="Times New Roman"/>
        </w:rPr>
        <w:t xml:space="preserve"> ani 20 rokov sporenia nebude stačiť (pri predpoklade výnosnosti fondov III. piliera na úrovni dnešnej výnosnosti), aby tento </w:t>
      </w:r>
      <w:proofErr w:type="spellStart"/>
      <w:r w:rsidRPr="00057923">
        <w:rPr>
          <w:rFonts w:ascii="Book Antiqua" w:eastAsia="Times New Roman" w:hAnsi="Book Antiqua" w:cs="Times New Roman"/>
        </w:rPr>
        <w:t>rizikár</w:t>
      </w:r>
      <w:proofErr w:type="spellEnd"/>
      <w:r w:rsidRPr="00057923">
        <w:rPr>
          <w:rFonts w:ascii="Book Antiqua" w:eastAsia="Times New Roman" w:hAnsi="Book Antiqua" w:cs="Times New Roman"/>
        </w:rPr>
        <w:t xml:space="preserve"> bol zabezpečený zo systému DDS na úrovni životného minima aspoň na 5 rokov, a to aj pri predpoklade, že si nasporenú sumu alebo jej časť nevyberie počas obdobia sporenia jednorazovo. V prípade navýšenia príspevku zamestnávateľa na 3 % z odhadovaného vymeriavacieho základu </w:t>
      </w:r>
      <w:proofErr w:type="spellStart"/>
      <w:r w:rsidRPr="00057923">
        <w:rPr>
          <w:rFonts w:ascii="Book Antiqua" w:eastAsia="Times New Roman" w:hAnsi="Book Antiqua" w:cs="Times New Roman"/>
        </w:rPr>
        <w:t>rizikára</w:t>
      </w:r>
      <w:proofErr w:type="spellEnd"/>
      <w:r w:rsidRPr="00057923">
        <w:rPr>
          <w:rFonts w:ascii="Book Antiqua" w:eastAsia="Times New Roman" w:hAnsi="Book Antiqua" w:cs="Times New Roman"/>
        </w:rPr>
        <w:t xml:space="preserve"> by už po 20-tich rokoch sporenia mohol začať poberať dočasný výsluhový dôchodok vo výške životného minima.</w:t>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4.2.3 Preferencie účastníkov pri čerpaní dávok z III. piliera</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Okrem nasporených súm účastníkov DDS sa môžeme zamerať aj na aktuálne vyplácané dávky z III. piliera a na ich „obľúbenosť“ u účastníkov prechádzajúcich do výplatnej fázy. </w:t>
      </w:r>
    </w:p>
    <w:p w:rsidR="00057923" w:rsidRPr="00057923" w:rsidRDefault="00057923" w:rsidP="00057923">
      <w:pPr>
        <w:keepNext/>
        <w:spacing w:after="200" w:line="276" w:lineRule="auto"/>
        <w:jc w:val="both"/>
        <w:rPr>
          <w:rFonts w:ascii="Book Antiqua" w:eastAsia="Times New Roman" w:hAnsi="Book Antiqua" w:cs="Times New Roman"/>
          <w:b/>
          <w:bCs/>
        </w:rPr>
      </w:pPr>
      <w:r w:rsidRPr="00057923">
        <w:rPr>
          <w:rFonts w:ascii="Book Antiqua" w:eastAsia="Times New Roman" w:hAnsi="Book Antiqua" w:cs="Times New Roman"/>
          <w:b/>
          <w:bCs/>
        </w:rPr>
        <w:t xml:space="preserve">Tabuľka 21: </w:t>
      </w:r>
      <w:r w:rsidRPr="00057923">
        <w:rPr>
          <w:rFonts w:ascii="Book Antiqua" w:eastAsia="Times New Roman" w:hAnsi="Book Antiqua" w:cs="Times New Roman"/>
          <w:bCs/>
        </w:rPr>
        <w:t>Preferencie účastníkov pri čerpaní dávok z III. piliera v rokoch 2009 - 2013</w:t>
      </w:r>
    </w:p>
    <w:tbl>
      <w:tblPr>
        <w:tblW w:w="5000" w:type="pct"/>
        <w:tblLayout w:type="fixed"/>
        <w:tblCellMar>
          <w:left w:w="70" w:type="dxa"/>
          <w:right w:w="70" w:type="dxa"/>
        </w:tblCellMar>
        <w:tblLook w:val="04A0" w:firstRow="1" w:lastRow="0" w:firstColumn="1" w:lastColumn="0" w:noHBand="0" w:noVBand="1"/>
      </w:tblPr>
      <w:tblGrid>
        <w:gridCol w:w="3974"/>
        <w:gridCol w:w="848"/>
        <w:gridCol w:w="848"/>
        <w:gridCol w:w="848"/>
        <w:gridCol w:w="848"/>
        <w:gridCol w:w="848"/>
        <w:gridCol w:w="846"/>
      </w:tblGrid>
      <w:tr w:rsidR="00057923" w:rsidRPr="00057923" w:rsidTr="00A62543">
        <w:trPr>
          <w:trHeight w:val="255"/>
        </w:trPr>
        <w:tc>
          <w:tcPr>
            <w:tcW w:w="2193" w:type="pct"/>
            <w:tcBorders>
              <w:top w:val="single" w:sz="4" w:space="0" w:color="auto"/>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 </w:t>
            </w:r>
          </w:p>
        </w:tc>
        <w:tc>
          <w:tcPr>
            <w:tcW w:w="468"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2009</w:t>
            </w:r>
          </w:p>
        </w:tc>
        <w:tc>
          <w:tcPr>
            <w:tcW w:w="468"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2010</w:t>
            </w:r>
          </w:p>
        </w:tc>
        <w:tc>
          <w:tcPr>
            <w:tcW w:w="468"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2011</w:t>
            </w:r>
          </w:p>
        </w:tc>
        <w:tc>
          <w:tcPr>
            <w:tcW w:w="468"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2012</w:t>
            </w:r>
          </w:p>
        </w:tc>
        <w:tc>
          <w:tcPr>
            <w:tcW w:w="468"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2013</w:t>
            </w:r>
          </w:p>
        </w:tc>
        <w:tc>
          <w:tcPr>
            <w:tcW w:w="467"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Spolu</w:t>
            </w:r>
          </w:p>
        </w:tc>
      </w:tr>
      <w:tr w:rsidR="00057923" w:rsidRPr="00057923" w:rsidTr="00A62543">
        <w:trPr>
          <w:trHeight w:val="480"/>
        </w:trPr>
        <w:tc>
          <w:tcPr>
            <w:tcW w:w="2193" w:type="pct"/>
            <w:tcBorders>
              <w:top w:val="nil"/>
              <w:left w:val="single" w:sz="4" w:space="0" w:color="auto"/>
              <w:bottom w:val="single" w:sz="4" w:space="0" w:color="auto"/>
              <w:right w:val="single" w:sz="4" w:space="0" w:color="auto"/>
            </w:tcBorders>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 xml:space="preserve">Vyplatená suma v rámci všetkých dávok </w:t>
            </w:r>
          </w:p>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v mil. eur</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117,9</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116,1</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125,7</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146,1</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155,4</w:t>
            </w:r>
          </w:p>
        </w:tc>
        <w:tc>
          <w:tcPr>
            <w:tcW w:w="467"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661,2</w:t>
            </w:r>
          </w:p>
        </w:tc>
      </w:tr>
      <w:tr w:rsidR="00057923" w:rsidRPr="00057923" w:rsidTr="00A62543">
        <w:trPr>
          <w:trHeight w:val="144"/>
        </w:trPr>
        <w:tc>
          <w:tcPr>
            <w:tcW w:w="2193" w:type="pct"/>
            <w:tcBorders>
              <w:top w:val="nil"/>
              <w:left w:val="single" w:sz="4" w:space="0" w:color="auto"/>
              <w:bottom w:val="single" w:sz="4" w:space="0" w:color="auto"/>
              <w:right w:val="single" w:sz="4" w:space="0" w:color="auto"/>
            </w:tcBorders>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 xml:space="preserve">Jednotlivé dávky v % </w:t>
            </w:r>
          </w:p>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(z celkovej vyplatenej sumy)</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p>
        </w:tc>
        <w:tc>
          <w:tcPr>
            <w:tcW w:w="467"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p>
        </w:tc>
      </w:tr>
      <w:tr w:rsidR="00057923" w:rsidRPr="00057923" w:rsidTr="00A62543">
        <w:trPr>
          <w:trHeight w:val="312"/>
        </w:trPr>
        <w:tc>
          <w:tcPr>
            <w:tcW w:w="219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Odstupné</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15,2%</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25,5%</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29,2%</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29,9%</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39,7%</w:t>
            </w:r>
          </w:p>
        </w:tc>
        <w:tc>
          <w:tcPr>
            <w:tcW w:w="467"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28,7%</w:t>
            </w:r>
          </w:p>
        </w:tc>
      </w:tr>
      <w:tr w:rsidR="00057923" w:rsidRPr="00057923" w:rsidTr="00A62543">
        <w:trPr>
          <w:trHeight w:val="312"/>
        </w:trPr>
        <w:tc>
          <w:tcPr>
            <w:tcW w:w="219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Predčasný výber</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467"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0,0%</w:t>
            </w:r>
          </w:p>
        </w:tc>
      </w:tr>
      <w:tr w:rsidR="00057923" w:rsidRPr="00057923" w:rsidTr="00A62543">
        <w:trPr>
          <w:trHeight w:val="312"/>
        </w:trPr>
        <w:tc>
          <w:tcPr>
            <w:tcW w:w="219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Dočasný doplnkový starobný dôchodok</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25,4%</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25,1%</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25,9%</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25,1%</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24,2%</w:t>
            </w:r>
          </w:p>
        </w:tc>
        <w:tc>
          <w:tcPr>
            <w:tcW w:w="467"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25,1%</w:t>
            </w:r>
          </w:p>
        </w:tc>
      </w:tr>
      <w:tr w:rsidR="00057923" w:rsidRPr="00057923" w:rsidTr="00A62543">
        <w:trPr>
          <w:trHeight w:val="312"/>
        </w:trPr>
        <w:tc>
          <w:tcPr>
            <w:tcW w:w="219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Doživotný doplnkový starobný dôchodok</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467"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0,0%</w:t>
            </w:r>
          </w:p>
        </w:tc>
      </w:tr>
      <w:tr w:rsidR="00057923" w:rsidRPr="00057923" w:rsidTr="00A62543">
        <w:trPr>
          <w:trHeight w:val="312"/>
        </w:trPr>
        <w:tc>
          <w:tcPr>
            <w:tcW w:w="219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Dočasný doplnkový výsluhový dôchodok</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6,1%</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0,9%</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0,4%</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0,1%</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467"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1,4%</w:t>
            </w:r>
          </w:p>
        </w:tc>
      </w:tr>
      <w:tr w:rsidR="00057923" w:rsidRPr="00057923" w:rsidTr="00A62543">
        <w:trPr>
          <w:trHeight w:val="312"/>
        </w:trPr>
        <w:tc>
          <w:tcPr>
            <w:tcW w:w="219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Doživotný doplnkový výsluhový dôchodok</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467"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0,0%</w:t>
            </w:r>
          </w:p>
        </w:tc>
      </w:tr>
      <w:tr w:rsidR="00057923" w:rsidRPr="00057923" w:rsidTr="00A62543">
        <w:trPr>
          <w:trHeight w:val="312"/>
        </w:trPr>
        <w:tc>
          <w:tcPr>
            <w:tcW w:w="219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Jednorazové vyrovnanie</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53,2%</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48,4%</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44,5%</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44,9%</w:t>
            </w:r>
          </w:p>
        </w:tc>
        <w:tc>
          <w:tcPr>
            <w:tcW w:w="46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36,1%</w:t>
            </w:r>
          </w:p>
        </w:tc>
        <w:tc>
          <w:tcPr>
            <w:tcW w:w="467"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44,9%</w:t>
            </w:r>
          </w:p>
        </w:tc>
      </w:tr>
    </w:tbl>
    <w:p w:rsidR="00057923" w:rsidRPr="00057923" w:rsidRDefault="00057923" w:rsidP="00057923">
      <w:pPr>
        <w:spacing w:after="20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Zdroj: doplnkové dôchodkové spoločnosti</w:t>
      </w:r>
    </w:p>
    <w:p w:rsidR="00057923" w:rsidRPr="00057923" w:rsidRDefault="00057923" w:rsidP="00057923">
      <w:pPr>
        <w:keepNext/>
        <w:spacing w:after="200" w:line="276" w:lineRule="auto"/>
        <w:jc w:val="both"/>
        <w:rPr>
          <w:rFonts w:eastAsia="Times New Roman" w:cs="Times New Roman"/>
          <w:b/>
          <w:bCs/>
          <w:color w:val="4472C4" w:themeColor="accent1"/>
          <w:sz w:val="18"/>
          <w:szCs w:val="18"/>
        </w:rPr>
      </w:pPr>
      <w:r w:rsidRPr="00057923">
        <w:rPr>
          <w:rFonts w:ascii="Book Antiqua" w:eastAsia="Times New Roman" w:hAnsi="Book Antiqua" w:cs="Times New Roman"/>
          <w:b/>
          <w:bCs/>
        </w:rPr>
        <w:lastRenderedPageBreak/>
        <w:t>Tabuľka 22:</w:t>
      </w:r>
      <w:r w:rsidRPr="00057923">
        <w:rPr>
          <w:rFonts w:ascii="Book Antiqua" w:eastAsia="Times New Roman" w:hAnsi="Book Antiqua" w:cs="Times New Roman"/>
          <w:bCs/>
        </w:rPr>
        <w:t xml:space="preserve"> Preferencie účastníkov pri čerpaní dávok z III. piliera v rokoch 2014 - 2017</w:t>
      </w:r>
    </w:p>
    <w:tbl>
      <w:tblPr>
        <w:tblW w:w="5000" w:type="pct"/>
        <w:tblLayout w:type="fixed"/>
        <w:tblCellMar>
          <w:left w:w="70" w:type="dxa"/>
          <w:right w:w="70" w:type="dxa"/>
        </w:tblCellMar>
        <w:tblLook w:val="04A0" w:firstRow="1" w:lastRow="0" w:firstColumn="1" w:lastColumn="0" w:noHBand="0" w:noVBand="1"/>
      </w:tblPr>
      <w:tblGrid>
        <w:gridCol w:w="3972"/>
        <w:gridCol w:w="1017"/>
        <w:gridCol w:w="1018"/>
        <w:gridCol w:w="1017"/>
        <w:gridCol w:w="1018"/>
        <w:gridCol w:w="1018"/>
      </w:tblGrid>
      <w:tr w:rsidR="00057923" w:rsidRPr="00057923" w:rsidTr="00A62543">
        <w:trPr>
          <w:trHeight w:val="255"/>
        </w:trPr>
        <w:tc>
          <w:tcPr>
            <w:tcW w:w="2192" w:type="pct"/>
            <w:tcBorders>
              <w:top w:val="single" w:sz="4" w:space="0" w:color="auto"/>
              <w:left w:val="single" w:sz="4"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 </w:t>
            </w:r>
          </w:p>
        </w:tc>
        <w:tc>
          <w:tcPr>
            <w:tcW w:w="561"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2014</w:t>
            </w:r>
          </w:p>
        </w:tc>
        <w:tc>
          <w:tcPr>
            <w:tcW w:w="562"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2015</w:t>
            </w:r>
          </w:p>
        </w:tc>
        <w:tc>
          <w:tcPr>
            <w:tcW w:w="561"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2016</w:t>
            </w:r>
          </w:p>
        </w:tc>
        <w:tc>
          <w:tcPr>
            <w:tcW w:w="562"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2017</w:t>
            </w:r>
          </w:p>
        </w:tc>
        <w:tc>
          <w:tcPr>
            <w:tcW w:w="562" w:type="pct"/>
            <w:tcBorders>
              <w:top w:val="single" w:sz="4" w:space="0" w:color="auto"/>
              <w:left w:val="nil"/>
              <w:bottom w:val="single" w:sz="4" w:space="0" w:color="auto"/>
              <w:right w:val="single" w:sz="4"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Spolu</w:t>
            </w:r>
          </w:p>
        </w:tc>
      </w:tr>
      <w:tr w:rsidR="00057923" w:rsidRPr="00057923" w:rsidTr="00A62543">
        <w:trPr>
          <w:trHeight w:val="480"/>
        </w:trPr>
        <w:tc>
          <w:tcPr>
            <w:tcW w:w="2192" w:type="pct"/>
            <w:tcBorders>
              <w:top w:val="nil"/>
              <w:left w:val="single" w:sz="4" w:space="0" w:color="auto"/>
              <w:bottom w:val="single" w:sz="4" w:space="0" w:color="auto"/>
              <w:right w:val="single" w:sz="4" w:space="0" w:color="auto"/>
            </w:tcBorders>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 xml:space="preserve">Vyplatená suma v rámci všetkých dávok </w:t>
            </w:r>
          </w:p>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v mil. eur</w:t>
            </w:r>
          </w:p>
        </w:tc>
        <w:tc>
          <w:tcPr>
            <w:tcW w:w="56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131,5</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109,1</w:t>
            </w:r>
          </w:p>
        </w:tc>
        <w:tc>
          <w:tcPr>
            <w:tcW w:w="56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105,2</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96,8</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442,5</w:t>
            </w:r>
          </w:p>
        </w:tc>
      </w:tr>
      <w:tr w:rsidR="00057923" w:rsidRPr="00057923" w:rsidTr="00A62543">
        <w:trPr>
          <w:trHeight w:val="120"/>
        </w:trPr>
        <w:tc>
          <w:tcPr>
            <w:tcW w:w="2192" w:type="pct"/>
            <w:tcBorders>
              <w:top w:val="nil"/>
              <w:left w:val="single" w:sz="4" w:space="0" w:color="auto"/>
              <w:bottom w:val="nil"/>
              <w:right w:val="single" w:sz="4" w:space="0" w:color="auto"/>
            </w:tcBorders>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 xml:space="preserve">Jednotlivé dávky v % </w:t>
            </w:r>
          </w:p>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(z celkovej vyplatenej sumy)</w:t>
            </w:r>
          </w:p>
        </w:tc>
        <w:tc>
          <w:tcPr>
            <w:tcW w:w="56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p>
        </w:tc>
        <w:tc>
          <w:tcPr>
            <w:tcW w:w="56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p>
        </w:tc>
      </w:tr>
      <w:tr w:rsidR="00057923" w:rsidRPr="00057923" w:rsidTr="00A62543">
        <w:trPr>
          <w:trHeight w:val="312"/>
        </w:trPr>
        <w:tc>
          <w:tcPr>
            <w:tcW w:w="2192" w:type="pct"/>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Odstupné</w:t>
            </w:r>
          </w:p>
        </w:tc>
        <w:tc>
          <w:tcPr>
            <w:tcW w:w="56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25,0%</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18,2%</w:t>
            </w:r>
          </w:p>
        </w:tc>
        <w:tc>
          <w:tcPr>
            <w:tcW w:w="56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17,7%</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16,8%</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19,8%</w:t>
            </w:r>
          </w:p>
        </w:tc>
      </w:tr>
      <w:tr w:rsidR="00057923" w:rsidRPr="00057923" w:rsidTr="00A62543">
        <w:trPr>
          <w:trHeight w:val="312"/>
        </w:trPr>
        <w:tc>
          <w:tcPr>
            <w:tcW w:w="2192" w:type="pct"/>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Predčasný výber</w:t>
            </w:r>
          </w:p>
        </w:tc>
        <w:tc>
          <w:tcPr>
            <w:tcW w:w="56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3,5%</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5,0%</w:t>
            </w:r>
          </w:p>
        </w:tc>
        <w:tc>
          <w:tcPr>
            <w:tcW w:w="56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5,5%</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5,0%</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4,6%</w:t>
            </w:r>
          </w:p>
        </w:tc>
      </w:tr>
      <w:tr w:rsidR="00057923" w:rsidRPr="00057923" w:rsidTr="00A62543">
        <w:trPr>
          <w:trHeight w:val="312"/>
        </w:trPr>
        <w:tc>
          <w:tcPr>
            <w:tcW w:w="2192" w:type="pct"/>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Dočasný doplnkový starobný dôchodok</w:t>
            </w:r>
          </w:p>
        </w:tc>
        <w:tc>
          <w:tcPr>
            <w:tcW w:w="56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31,7%</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34,8%</w:t>
            </w:r>
          </w:p>
        </w:tc>
        <w:tc>
          <w:tcPr>
            <w:tcW w:w="56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34,9%</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37,2%</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34,4%</w:t>
            </w:r>
          </w:p>
        </w:tc>
      </w:tr>
      <w:tr w:rsidR="00057923" w:rsidRPr="00057923" w:rsidTr="00A62543">
        <w:trPr>
          <w:trHeight w:val="312"/>
        </w:trPr>
        <w:tc>
          <w:tcPr>
            <w:tcW w:w="2192" w:type="pct"/>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Doživotný doplnkový starobný dôchodok</w:t>
            </w:r>
          </w:p>
        </w:tc>
        <w:tc>
          <w:tcPr>
            <w:tcW w:w="56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56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0,0%</w:t>
            </w:r>
          </w:p>
        </w:tc>
      </w:tr>
      <w:tr w:rsidR="00057923" w:rsidRPr="00057923" w:rsidTr="00A62543">
        <w:trPr>
          <w:trHeight w:val="312"/>
        </w:trPr>
        <w:tc>
          <w:tcPr>
            <w:tcW w:w="2192"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Dočasný doplnkový výsluhový dôchodok</w:t>
            </w:r>
          </w:p>
        </w:tc>
        <w:tc>
          <w:tcPr>
            <w:tcW w:w="561"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562"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561"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562"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0,1%</w:t>
            </w:r>
          </w:p>
        </w:tc>
        <w:tc>
          <w:tcPr>
            <w:tcW w:w="562"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0,0%</w:t>
            </w:r>
          </w:p>
        </w:tc>
      </w:tr>
      <w:tr w:rsidR="00057923" w:rsidRPr="00057923" w:rsidTr="00A62543">
        <w:trPr>
          <w:trHeight w:val="312"/>
        </w:trPr>
        <w:tc>
          <w:tcPr>
            <w:tcW w:w="2192"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Doživotný doplnkový výsluhový dôchodok</w:t>
            </w:r>
          </w:p>
        </w:tc>
        <w:tc>
          <w:tcPr>
            <w:tcW w:w="561"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562"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561"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562"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0,0%</w:t>
            </w:r>
          </w:p>
        </w:tc>
        <w:tc>
          <w:tcPr>
            <w:tcW w:w="562" w:type="pct"/>
            <w:tcBorders>
              <w:top w:val="nil"/>
              <w:left w:val="nil"/>
              <w:bottom w:val="single" w:sz="4" w:space="0" w:color="auto"/>
              <w:right w:val="single" w:sz="4" w:space="0" w:color="auto"/>
            </w:tcBorders>
            <w:shd w:val="clear" w:color="auto" w:fill="D9D9D9" w:themeFill="background1" w:themeFillShade="D9"/>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0,0%</w:t>
            </w:r>
          </w:p>
        </w:tc>
      </w:tr>
      <w:tr w:rsidR="00057923" w:rsidRPr="00057923" w:rsidTr="00A62543">
        <w:trPr>
          <w:trHeight w:val="312"/>
        </w:trPr>
        <w:tc>
          <w:tcPr>
            <w:tcW w:w="21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7923" w:rsidRPr="00057923" w:rsidRDefault="00057923" w:rsidP="00057923">
            <w:pPr>
              <w:spacing w:after="0" w:line="276"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Jednorazové vyrovnanie</w:t>
            </w:r>
          </w:p>
        </w:tc>
        <w:tc>
          <w:tcPr>
            <w:tcW w:w="56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39,8%</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41,9%</w:t>
            </w:r>
          </w:p>
        </w:tc>
        <w:tc>
          <w:tcPr>
            <w:tcW w:w="561"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41,9%</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41,0%</w:t>
            </w:r>
          </w:p>
        </w:tc>
        <w:tc>
          <w:tcPr>
            <w:tcW w:w="562"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Arial"/>
                <w:b/>
                <w:sz w:val="20"/>
                <w:szCs w:val="20"/>
                <w:lang w:eastAsia="sk-SK"/>
              </w:rPr>
            </w:pPr>
            <w:r w:rsidRPr="00057923">
              <w:rPr>
                <w:rFonts w:ascii="Book Antiqua" w:eastAsia="Times New Roman" w:hAnsi="Book Antiqua" w:cs="Arial"/>
                <w:b/>
                <w:sz w:val="20"/>
                <w:szCs w:val="20"/>
                <w:lang w:eastAsia="sk-SK"/>
              </w:rPr>
              <w:t>41,1%</w:t>
            </w:r>
          </w:p>
        </w:tc>
      </w:tr>
    </w:tbl>
    <w:p w:rsidR="00057923" w:rsidRPr="00057923" w:rsidRDefault="00057923" w:rsidP="00057923">
      <w:pPr>
        <w:spacing w:after="20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Zdroj: doplnkové dôchodkové spoločnosti</w:t>
      </w:r>
    </w:p>
    <w:p w:rsidR="00057923" w:rsidRPr="00057923" w:rsidRDefault="00057923" w:rsidP="00057923">
      <w:pPr>
        <w:spacing w:after="0" w:line="276" w:lineRule="auto"/>
        <w:jc w:val="both"/>
        <w:rPr>
          <w:rFonts w:ascii="Book Antiqua" w:eastAsia="Times New Roman" w:hAnsi="Book Antiqua" w:cs="Times New Roman"/>
        </w:rPr>
      </w:pPr>
      <w:r w:rsidRPr="00057923">
        <w:rPr>
          <w:rFonts w:ascii="Book Antiqua" w:eastAsia="Times New Roman" w:hAnsi="Book Antiqua" w:cs="Times New Roman"/>
          <w:b/>
        </w:rPr>
        <w:tab/>
      </w:r>
      <w:r w:rsidRPr="00057923">
        <w:rPr>
          <w:rFonts w:ascii="Book Antiqua" w:eastAsia="Times New Roman" w:hAnsi="Book Antiqua" w:cs="Times New Roman"/>
        </w:rPr>
        <w:t xml:space="preserve">V tabuľkách vyššie môžeme vidieť percentá z celkovej sumy vyplatenej z III. piliera vo forme jednotlivých dávok. V období od roku 2009 do roku 2013 kedy ešte účastníci mohli mať uzatvorené zmluvy iba s dávkovým plánom môžeme vidieť znižujúci sa objem vyplatených prostriedkov na dávku dočasný doplnkový výsluhový dôchodok až na 0,0 % z celkovej vyplatenej sumy v roku 2013. V  období rokov 2014 – 2017 záujem o vyplácanie dočasného doplnkového výsluhového dôchodku z III. piliera zostal prakticky nulový. Uvedené môže byť spôsobené tým, že napriek tomu, že ročne prispievajú zamestnávatelia na DDS cca 60 000 </w:t>
      </w:r>
      <w:proofErr w:type="spellStart"/>
      <w:r w:rsidRPr="00057923">
        <w:rPr>
          <w:rFonts w:ascii="Book Antiqua" w:eastAsia="Times New Roman" w:hAnsi="Book Antiqua" w:cs="Times New Roman"/>
        </w:rPr>
        <w:t>rizikárom</w:t>
      </w:r>
      <w:proofErr w:type="spellEnd"/>
      <w:r w:rsidRPr="00057923">
        <w:rPr>
          <w:rFonts w:ascii="Book Antiqua" w:eastAsia="Times New Roman" w:hAnsi="Book Antiqua" w:cs="Times New Roman"/>
        </w:rPr>
        <w:t>, čo tvorí približne 10 % zo všetkých účastníkov v III. pilieri, títo účastníci pri prechode do výplatnej fázy nemusia spĺňať obdobie, v ktorom zamestnávateľ platil príspevky za týchto zamestnancov z dôvodu výkonu rizikovej práce (či už 5 alebo 10 rokov). Z uvedených tabuliek vyplýva, že záujem o dočasný doplnkový výsluhový dôchodok je v súčasnosti veľmi nízky. Presnejším údajom by však bola celková nasporená suma, ktorá mohla byť použitá na túto dávku, ale účastník si vybral radšej niektorú z iných možností – túto informáciu z vyššie uvedených dôvodov nie je možné zistiť.</w:t>
      </w:r>
    </w:p>
    <w:p w:rsidR="00057923" w:rsidRPr="00057923" w:rsidRDefault="00057923" w:rsidP="00057923">
      <w:pPr>
        <w:spacing w:after="0" w:line="276" w:lineRule="auto"/>
        <w:jc w:val="both"/>
        <w:rPr>
          <w:rFonts w:ascii="Book Antiqua" w:eastAsia="Times New Roman" w:hAnsi="Book Antiqua" w:cs="Times New Roman"/>
        </w:rPr>
      </w:pPr>
      <w:r w:rsidRPr="00057923">
        <w:rPr>
          <w:rFonts w:ascii="Book Antiqua" w:eastAsia="Times New Roman" w:hAnsi="Book Antiqua" w:cs="Times New Roman"/>
        </w:rPr>
        <w:t xml:space="preserve"> </w:t>
      </w: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Vyplácanie dávky vo forme doživotného dôchodku či už výsluhového alebo starobného nie je v súčasnosti vôbec realizované. Dôvodom je, že poisťovne doživotné anuity neposkytujú vôbec (výnimkou sú doživotné anuity, ktoré ponúkajú 3 poisťovne v prípade sporiteľov v II. pilieri). Preferenciu jednorazovo vyplácaných dávok môžeme vidieť z výšky nasporenej sumy vyplácanej prostredníctvom dávok odstupné, predčasný výber a jednorazové vyrovnanie, kde až cca 65 % z nasporenej sumy účastníkov vyplatenej v daných rokoch tvoria jednorazové dávky a cca 20 % tvoria dávky vyplatené vo forme odstupného, ktorého vyplatenie je navyše penalizované, v niektorých prípadoch až vo výške 20 % z  nasporenej sumy</w:t>
      </w:r>
      <w:r w:rsidRPr="00057923">
        <w:rPr>
          <w:rFonts w:ascii="Book Antiqua" w:eastAsia="Times New Roman" w:hAnsi="Book Antiqua" w:cs="Times New Roman"/>
          <w:vertAlign w:val="superscript"/>
        </w:rPr>
        <w:footnoteReference w:id="25"/>
      </w:r>
      <w:r w:rsidRPr="00057923">
        <w:rPr>
          <w:rFonts w:ascii="Book Antiqua" w:eastAsia="Times New Roman" w:hAnsi="Book Antiqua" w:cs="Times New Roman"/>
        </w:rPr>
        <w:t xml:space="preserve">. </w:t>
      </w:r>
    </w:p>
    <w:p w:rsidR="00057923" w:rsidRPr="00057923" w:rsidRDefault="00057923" w:rsidP="00057923">
      <w:pPr>
        <w:spacing w:after="200" w:line="276" w:lineRule="auto"/>
        <w:ind w:firstLine="705"/>
        <w:jc w:val="both"/>
        <w:rPr>
          <w:rFonts w:ascii="Book Antiqua" w:eastAsia="Times New Roman" w:hAnsi="Book Antiqua" w:cs="Times New Roman"/>
          <w:b/>
        </w:rPr>
      </w:pPr>
      <w:r w:rsidRPr="00057923">
        <w:rPr>
          <w:rFonts w:ascii="Book Antiqua" w:eastAsia="Times New Roman" w:hAnsi="Book Antiqua" w:cs="Times New Roman"/>
          <w:b/>
        </w:rPr>
        <w:lastRenderedPageBreak/>
        <w:t>Uvedené čísla podporujú teóriu, že sprísňovať podmienky vyplácania dočasného doplnkového výsluhového dôchodku v súčasnej dobe, kedy o takýto typ dôchodku nemá nikto záujem a pravdepodobne taktiež v súčasnosti existuje iba malé percento účastníkov III. piliera, ktorí by spĺňali aktuálne podmienky jeho výplaty (teda 10 – ročné obdobie, za ktoré zamestnávateľ platil príspevky za tohto zamestnanca z dôvodu výkonu rizikovej práce), nemá opodstatnenie.</w:t>
      </w: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 xml:space="preserve">4.2.4 Pohľad na rizikovosť jednotlivých zamestnaní cez dávky poberané zamestnancami a odhad platového ohodnotenia </w:t>
      </w:r>
      <w:proofErr w:type="spellStart"/>
      <w:r w:rsidRPr="00057923">
        <w:rPr>
          <w:rFonts w:ascii="Book Antiqua" w:eastAsia="Times New Roman" w:hAnsi="Book Antiqua" w:cs="Times New Roman"/>
          <w:b/>
          <w:i/>
        </w:rPr>
        <w:t>rizikárov</w:t>
      </w:r>
      <w:proofErr w:type="spellEnd"/>
    </w:p>
    <w:p w:rsidR="00057923" w:rsidRPr="00057923" w:rsidRDefault="00057923" w:rsidP="00057923">
      <w:pPr>
        <w:spacing w:after="0" w:line="276" w:lineRule="auto"/>
        <w:ind w:firstLine="708"/>
        <w:jc w:val="both"/>
        <w:rPr>
          <w:rFonts w:ascii="Book Antiqua" w:eastAsia="Times New Roman" w:hAnsi="Book Antiqua" w:cs="Times New Roman"/>
          <w:b/>
        </w:rPr>
      </w:pPr>
      <w:r w:rsidRPr="00057923">
        <w:rPr>
          <w:rFonts w:ascii="Book Antiqua" w:eastAsia="Times New Roman" w:hAnsi="Book Antiqua" w:cs="Times New Roman"/>
        </w:rPr>
        <w:t xml:space="preserve">Na základe dát od Sociálnej poisťovne o dávkach poberaných z I. piliera, resp. invalidných dôchodkoch vyplácaných z I. piliera prepojených s dátami od doplnkových dôchodkových spoločností, je možné odhadnúť, </w:t>
      </w:r>
      <w:r w:rsidRPr="00057923">
        <w:rPr>
          <w:rFonts w:ascii="Book Antiqua" w:eastAsia="Times New Roman" w:hAnsi="Book Antiqua" w:cs="Times New Roman"/>
          <w:b/>
        </w:rPr>
        <w:t xml:space="preserve">či sú </w:t>
      </w:r>
      <w:proofErr w:type="spellStart"/>
      <w:r w:rsidRPr="00057923">
        <w:rPr>
          <w:rFonts w:ascii="Book Antiqua" w:eastAsia="Times New Roman" w:hAnsi="Book Antiqua" w:cs="Times New Roman"/>
          <w:b/>
        </w:rPr>
        <w:t>rizikári</w:t>
      </w:r>
      <w:proofErr w:type="spellEnd"/>
      <w:r w:rsidRPr="00057923">
        <w:rPr>
          <w:rFonts w:ascii="Book Antiqua" w:eastAsia="Times New Roman" w:hAnsi="Book Antiqua" w:cs="Times New Roman"/>
          <w:b/>
        </w:rPr>
        <w:t xml:space="preserve"> častejšie práceneschopní (</w:t>
      </w:r>
      <w:proofErr w:type="spellStart"/>
      <w:r w:rsidRPr="00057923">
        <w:rPr>
          <w:rFonts w:ascii="Book Antiqua" w:eastAsia="Times New Roman" w:hAnsi="Book Antiqua" w:cs="Times New Roman"/>
          <w:b/>
        </w:rPr>
        <w:t>t.j</w:t>
      </w:r>
      <w:proofErr w:type="spellEnd"/>
      <w:r w:rsidRPr="00057923">
        <w:rPr>
          <w:rFonts w:ascii="Book Antiqua" w:eastAsia="Times New Roman" w:hAnsi="Book Antiqua" w:cs="Times New Roman"/>
          <w:b/>
        </w:rPr>
        <w:t>. využívajú dávku nemocenské  zo Sociálnej poisťovne) alebo či vo väčšej miere poberajú invalidný dôchodok v porovnaní s </w:t>
      </w:r>
      <w:proofErr w:type="spellStart"/>
      <w:r w:rsidRPr="00057923">
        <w:rPr>
          <w:rFonts w:ascii="Book Antiqua" w:eastAsia="Times New Roman" w:hAnsi="Book Antiqua" w:cs="Times New Roman"/>
          <w:b/>
        </w:rPr>
        <w:t>nerizikármi</w:t>
      </w:r>
      <w:proofErr w:type="spellEnd"/>
      <w:r w:rsidRPr="00057923">
        <w:rPr>
          <w:rFonts w:ascii="Book Antiqua" w:eastAsia="Times New Roman" w:hAnsi="Book Antiqua" w:cs="Times New Roman"/>
        </w:rPr>
        <w:t xml:space="preserve">. Tak isto je možné </w:t>
      </w:r>
      <w:r w:rsidRPr="00057923">
        <w:rPr>
          <w:rFonts w:ascii="Book Antiqua" w:eastAsia="Times New Roman" w:hAnsi="Book Antiqua" w:cs="Times New Roman"/>
          <w:b/>
        </w:rPr>
        <w:t xml:space="preserve">odhadnúť priemernú mzdu </w:t>
      </w:r>
      <w:proofErr w:type="spellStart"/>
      <w:r w:rsidRPr="00057923">
        <w:rPr>
          <w:rFonts w:ascii="Book Antiqua" w:eastAsia="Times New Roman" w:hAnsi="Book Antiqua" w:cs="Times New Roman"/>
          <w:b/>
        </w:rPr>
        <w:t>rizikárov</w:t>
      </w:r>
      <w:proofErr w:type="spellEnd"/>
      <w:r w:rsidRPr="00057923">
        <w:rPr>
          <w:rFonts w:ascii="Book Antiqua" w:eastAsia="Times New Roman" w:hAnsi="Book Antiqua" w:cs="Times New Roman"/>
          <w:b/>
        </w:rPr>
        <w:t xml:space="preserve"> v porovnaní s </w:t>
      </w:r>
      <w:proofErr w:type="spellStart"/>
      <w:r w:rsidRPr="00057923">
        <w:rPr>
          <w:rFonts w:ascii="Book Antiqua" w:eastAsia="Times New Roman" w:hAnsi="Book Antiqua" w:cs="Times New Roman"/>
          <w:b/>
        </w:rPr>
        <w:t>nerizikármi</w:t>
      </w:r>
      <w:proofErr w:type="spellEnd"/>
      <w:r w:rsidRPr="00057923">
        <w:rPr>
          <w:rFonts w:ascii="Book Antiqua" w:eastAsia="Times New Roman" w:hAnsi="Book Antiqua" w:cs="Times New Roman"/>
          <w:b/>
        </w:rPr>
        <w:t xml:space="preserve"> a teda overiť či výkon rizikových prác je ohodnotený vyššou mzdou v porovnaní s výkonom nerizikovej práce. </w:t>
      </w:r>
    </w:p>
    <w:p w:rsidR="00057923" w:rsidRPr="00057923" w:rsidRDefault="00057923" w:rsidP="00057923">
      <w:pPr>
        <w:spacing w:after="0" w:line="276" w:lineRule="auto"/>
        <w:ind w:firstLine="708"/>
        <w:jc w:val="both"/>
        <w:rPr>
          <w:rFonts w:ascii="Book Antiqua" w:eastAsia="Times New Roman" w:hAnsi="Book Antiqua" w:cs="Times New Roman"/>
          <w:b/>
        </w:rPr>
      </w:pPr>
    </w:p>
    <w:p w:rsidR="00057923" w:rsidRPr="00057923" w:rsidRDefault="00057923" w:rsidP="00057923">
      <w:pPr>
        <w:spacing w:after="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Na základe uvedených dát môžeme povedať, či u zamestnávateľov, u ktorých pracuje isté percento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vieme preukázať vyššie čerpanie nemocenského alebo aj následný vznik invalidity v porovnaní so zamestnávateľmi, ktorí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nezamestnávajú. Tak isto vieme odhadnúť aj priemerný vymeriavací základ zamestnancov u zamestnávateľov, u ktorých pracuje isté percento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w:t>
      </w:r>
    </w:p>
    <w:p w:rsidR="00057923" w:rsidRPr="00057923" w:rsidRDefault="00057923" w:rsidP="00057923">
      <w:pPr>
        <w:spacing w:after="0" w:line="276" w:lineRule="auto"/>
        <w:ind w:firstLine="708"/>
        <w:jc w:val="both"/>
        <w:rPr>
          <w:rFonts w:ascii="Book Antiqua" w:eastAsia="Times New Roman" w:hAnsi="Book Antiqua" w:cs="Times New Roman"/>
        </w:rPr>
      </w:pPr>
    </w:p>
    <w:p w:rsidR="00057923" w:rsidRPr="00057923" w:rsidRDefault="00057923" w:rsidP="00057923">
      <w:pPr>
        <w:keepNext/>
        <w:spacing w:after="12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Uvedený prístup má však výrazné nedostatky, keďže zamestnávateľská zmluva, ktorú má zamestnávateľ uzavretú s doplnkovou dôchodkovou spoločnosťou, môže definovať také podmienky prispievania zamestnancom, ktoré splnia všetci zamestnanci, ktorých zamestnávateľ zamestnáva, určitá skupina týchto zamestnancov, alebo dokonca ani jeden z jeho zamestnancov. </w:t>
      </w:r>
      <w:r w:rsidRPr="00057923">
        <w:rPr>
          <w:rFonts w:ascii="Book Antiqua" w:eastAsia="Times New Roman" w:hAnsi="Book Antiqua" w:cs="Times New Roman"/>
          <w:b/>
        </w:rPr>
        <w:t xml:space="preserve">MPSVR v súčasnosti nedisponuje možnosťou rozoznať takých účastníkov, za ktorých zamestnávateľ na základe zamestnávateľskej zmluvy prispieva a zamestnancov, za ktorých zamestnávateľ na DDS neprispieva. Z tohto dôvodu a pre túto konkrétnu situáciu ich preto všetkých považujeme za zamestnancov, ktorých zamestnáva zamestnávateľ s percentom zamestnancov </w:t>
      </w:r>
      <w:proofErr w:type="spellStart"/>
      <w:r w:rsidRPr="00057923">
        <w:rPr>
          <w:rFonts w:ascii="Book Antiqua" w:eastAsia="Times New Roman" w:hAnsi="Book Antiqua" w:cs="Times New Roman"/>
          <w:b/>
        </w:rPr>
        <w:t>rizikárov</w:t>
      </w:r>
      <w:proofErr w:type="spellEnd"/>
      <w:r w:rsidRPr="00057923">
        <w:rPr>
          <w:rFonts w:ascii="Book Antiqua" w:eastAsia="Times New Roman" w:hAnsi="Book Antiqua" w:cs="Times New Roman"/>
          <w:b/>
        </w:rPr>
        <w:t>.</w:t>
      </w:r>
      <w:r w:rsidRPr="00057923">
        <w:rPr>
          <w:rFonts w:ascii="Book Antiqua" w:eastAsia="Times New Roman" w:hAnsi="Book Antiqua" w:cs="Times New Roman"/>
        </w:rPr>
        <w:t xml:space="preserve"> Z dát od doplnkových dôchodkových spoločností, ktoré boli doplnené o údaje zo Slovenskej informačnej a marketingovej spoločnosti (</w:t>
      </w:r>
      <w:proofErr w:type="spellStart"/>
      <w:r w:rsidRPr="00057923">
        <w:rPr>
          <w:rFonts w:ascii="Book Antiqua" w:eastAsia="Times New Roman" w:hAnsi="Book Antiqua" w:cs="Times New Roman"/>
        </w:rPr>
        <w:t>SiMS</w:t>
      </w:r>
      <w:proofErr w:type="spellEnd"/>
      <w:r w:rsidRPr="00057923">
        <w:rPr>
          <w:rFonts w:ascii="Book Antiqua" w:eastAsia="Times New Roman" w:hAnsi="Book Antiqua" w:cs="Times New Roman"/>
        </w:rPr>
        <w:t xml:space="preserve">) vyplýva, že ak má zamestnávateľ uzatvorenú zamestnávateľskú zmluvu, v priemere reálne prispieva približne polovici svojich zamestnancov. Dôvodom je, že zamestnanec nemusí spĺňať podmienky na príspevok svojho zamestnávateľa (napr.: niektorí zamestnávatelia podmieňujú platenie príspevkov odpracovaným obdobím v danej spoločnosti alebo inými špecifickejšími podmienkami) alebo nemá uzatvorenú účastnícku </w:t>
      </w:r>
      <w:r w:rsidRPr="00057923">
        <w:rPr>
          <w:rFonts w:ascii="Book Antiqua" w:eastAsia="Times New Roman" w:hAnsi="Book Antiqua" w:cs="Times New Roman"/>
        </w:rPr>
        <w:lastRenderedPageBreak/>
        <w:t xml:space="preserve">zmluvu, o zamestnávateľov príspevok nemá záujem, prípadne  informáciou o možnosti sporenia prostredníctvom DDS nedisponuje. </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Pre porovnanie využívania nemocenského a invalidného dôchodku sme vytvorili zoznam poistencov, ktorí boli zamestnaní v roku 2015 u zamestnávateľa, ktorý prispieval v tom istom roku do III. piliera aj za zamestnancov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Uvedený zoznam poistencov sme porovnali so zoznamom poberateľov nemocenského a so zoznamom novopriznaných invalidných dôchodkov v roku 2016. V prípade zamestnancov, ktorí pracovali u zamestnávateľa, ktorý zamestnával taktiež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poberalo 23 % z nich v nasledujúcom roku nemocenské. V prípade zamestnancov, ktorí pracovali u zamestnávateľa, ktorý nezamestnáva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poberalo 16 % z nich v nasledujúcim roku nemocenské. </w:t>
      </w:r>
      <w:r w:rsidRPr="00057923">
        <w:rPr>
          <w:rFonts w:ascii="Book Antiqua" w:eastAsia="Times New Roman" w:hAnsi="Book Antiqua" w:cs="Times New Roman"/>
          <w:b/>
        </w:rPr>
        <w:t xml:space="preserve">Pravdepodobnosť, že bude osoba poberať nemocenské v prípade, že pracujú na pracovisku aj </w:t>
      </w:r>
      <w:proofErr w:type="spellStart"/>
      <w:r w:rsidRPr="00057923">
        <w:rPr>
          <w:rFonts w:ascii="Book Antiqua" w:eastAsia="Times New Roman" w:hAnsi="Book Antiqua" w:cs="Times New Roman"/>
          <w:b/>
        </w:rPr>
        <w:t>rizikári</w:t>
      </w:r>
      <w:proofErr w:type="spellEnd"/>
      <w:r w:rsidRPr="00057923">
        <w:rPr>
          <w:rFonts w:ascii="Book Antiqua" w:eastAsia="Times New Roman" w:hAnsi="Book Antiqua" w:cs="Times New Roman"/>
          <w:b/>
        </w:rPr>
        <w:t xml:space="preserve"> je tak vyššia až o 7 </w:t>
      </w:r>
      <w:proofErr w:type="spellStart"/>
      <w:r w:rsidRPr="00057923">
        <w:rPr>
          <w:rFonts w:ascii="Book Antiqua" w:eastAsia="Times New Roman" w:hAnsi="Book Antiqua" w:cs="Times New Roman"/>
          <w:b/>
        </w:rPr>
        <w:t>p.b</w:t>
      </w:r>
      <w:proofErr w:type="spellEnd"/>
      <w:r w:rsidRPr="00057923">
        <w:rPr>
          <w:rFonts w:ascii="Book Antiqua" w:eastAsia="Times New Roman" w:hAnsi="Book Antiqua" w:cs="Times New Roman"/>
          <w:b/>
        </w:rPr>
        <w:t>., čo znamená takmer 1,5 násobne vyššiu pravdepodobnosť.</w:t>
      </w:r>
      <w:r w:rsidRPr="00057923">
        <w:rPr>
          <w:rFonts w:ascii="Book Antiqua" w:eastAsia="Times New Roman" w:hAnsi="Book Antiqua" w:cs="Times New Roman"/>
        </w:rPr>
        <w:t xml:space="preserve"> </w:t>
      </w:r>
      <w:r w:rsidRPr="00057923">
        <w:rPr>
          <w:rFonts w:ascii="Book Antiqua" w:eastAsia="Times New Roman" w:hAnsi="Book Antiqua" w:cs="Times New Roman"/>
          <w:b/>
        </w:rPr>
        <w:t xml:space="preserve">V prípade porovnania pravdepodobnosti, že osoba sa stala v nasledujúcom roku invalidnou a začala poberať z tohto dôvodu dôchodok taktiež vidíme rozdiel vo výške 0,07 </w:t>
      </w:r>
      <w:proofErr w:type="spellStart"/>
      <w:r w:rsidRPr="00057923">
        <w:rPr>
          <w:rFonts w:ascii="Book Antiqua" w:eastAsia="Times New Roman" w:hAnsi="Book Antiqua" w:cs="Times New Roman"/>
          <w:b/>
        </w:rPr>
        <w:t>p.b</w:t>
      </w:r>
      <w:proofErr w:type="spellEnd"/>
      <w:r w:rsidRPr="00057923">
        <w:rPr>
          <w:rFonts w:ascii="Book Antiqua" w:eastAsia="Times New Roman" w:hAnsi="Book Antiqua" w:cs="Times New Roman"/>
          <w:b/>
        </w:rPr>
        <w:t>. čo znamená cca 1,3 násobne vyššiu pravdepodobnosť, keďže pravdepodobnosti v oboch prípadoch sú rádovo nižšie.</w:t>
      </w:r>
      <w:r w:rsidRPr="00057923">
        <w:rPr>
          <w:rFonts w:ascii="Book Antiqua" w:eastAsia="Times New Roman" w:hAnsi="Book Antiqua" w:cs="Times New Roman"/>
        </w:rPr>
        <w:t xml:space="preserve"> V prípade zamestnancov, ktorí pracovali u zamestnávateľa, ktorý zamestnáva taktiež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začalo poberať invalidný dôchodok v nasledujúcom roku 0,33 % z nich. V prípade zamestnancov, ktorí pracovali u zamestnávateľa, ktorý nezamestnáva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začalo poberať invalidný dôchodok v nasledujúcom roku 0,25 % z nich. </w:t>
      </w:r>
    </w:p>
    <w:p w:rsidR="00057923" w:rsidRPr="00057923" w:rsidRDefault="00057923" w:rsidP="00057923">
      <w:pPr>
        <w:spacing w:after="0" w:line="276" w:lineRule="auto"/>
        <w:ind w:firstLine="702"/>
        <w:contextualSpacing/>
        <w:jc w:val="both"/>
        <w:rPr>
          <w:rFonts w:ascii="Book Antiqua" w:eastAsia="Times New Roman" w:hAnsi="Book Antiqua" w:cs="Times New Roman"/>
        </w:rPr>
      </w:pPr>
      <w:r w:rsidRPr="00057923">
        <w:rPr>
          <w:rFonts w:ascii="Book Antiqua" w:eastAsia="Times New Roman" w:hAnsi="Book Antiqua" w:cs="Times New Roman"/>
        </w:rPr>
        <w:t xml:space="preserve">Z dát poskytnutých doplnkovými dôchodkovými spoločnosťami za rok 2015 vieme povedať, </w:t>
      </w:r>
      <w:r w:rsidRPr="00057923">
        <w:rPr>
          <w:rFonts w:ascii="Book Antiqua" w:eastAsia="Times New Roman" w:hAnsi="Book Antiqua" w:cs="Times New Roman"/>
          <w:b/>
        </w:rPr>
        <w:t>koľko osôb požiadalo o vyplatenie jednorazového vyrovnania z dôvodu invalidity alebo z dôvodu smrti účastníka.</w:t>
      </w:r>
      <w:r w:rsidRPr="00057923">
        <w:rPr>
          <w:rFonts w:ascii="Book Antiqua" w:eastAsia="Times New Roman" w:hAnsi="Book Antiqua" w:cs="Times New Roman"/>
        </w:rPr>
        <w:t xml:space="preserve"> V prípade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požiadalo o jednorazové vyrovnanie z týchto dôvodov cca 0,13 %, v prípade </w:t>
      </w:r>
      <w:proofErr w:type="spellStart"/>
      <w:r w:rsidRPr="00057923">
        <w:rPr>
          <w:rFonts w:ascii="Book Antiqua" w:eastAsia="Times New Roman" w:hAnsi="Book Antiqua" w:cs="Times New Roman"/>
        </w:rPr>
        <w:t>nerizikárov</w:t>
      </w:r>
      <w:proofErr w:type="spellEnd"/>
      <w:r w:rsidRPr="00057923">
        <w:rPr>
          <w:rFonts w:ascii="Book Antiqua" w:eastAsia="Times New Roman" w:hAnsi="Book Antiqua" w:cs="Times New Roman"/>
        </w:rPr>
        <w:t xml:space="preserve"> to bolo cca 0,14%. Napriek nízkemu percentu osôb žiadajúcich o jednorazové vyrovnanie či už v prípade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alebo </w:t>
      </w:r>
      <w:proofErr w:type="spellStart"/>
      <w:r w:rsidRPr="00057923">
        <w:rPr>
          <w:rFonts w:ascii="Book Antiqua" w:eastAsia="Times New Roman" w:hAnsi="Book Antiqua" w:cs="Times New Roman"/>
        </w:rPr>
        <w:t>nerizikárov</w:t>
      </w:r>
      <w:proofErr w:type="spellEnd"/>
      <w:r w:rsidRPr="00057923">
        <w:rPr>
          <w:rFonts w:ascii="Book Antiqua" w:eastAsia="Times New Roman" w:hAnsi="Book Antiqua" w:cs="Times New Roman"/>
        </w:rPr>
        <w:t xml:space="preserve"> môžeme vidieť, že sa počet žiadateľov o jednorazové vyrovnanie z dôvodu invalidity alebo z dôvodu smrti v prípade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výrazne nelíši. </w:t>
      </w:r>
      <w:r w:rsidRPr="00057923">
        <w:rPr>
          <w:rFonts w:ascii="Book Antiqua" w:eastAsia="Times New Roman" w:hAnsi="Book Antiqua" w:cs="Times New Roman"/>
          <w:b/>
          <w:u w:val="single"/>
        </w:rPr>
        <w:t xml:space="preserve">Nemôžeme teda predpokladať vyššiu pravdepodobnosť, že by sa </w:t>
      </w:r>
      <w:proofErr w:type="spellStart"/>
      <w:r w:rsidRPr="00057923">
        <w:rPr>
          <w:rFonts w:ascii="Book Antiqua" w:eastAsia="Times New Roman" w:hAnsi="Book Antiqua" w:cs="Times New Roman"/>
          <w:b/>
          <w:u w:val="single"/>
        </w:rPr>
        <w:t>rizikári</w:t>
      </w:r>
      <w:proofErr w:type="spellEnd"/>
      <w:r w:rsidRPr="00057923">
        <w:rPr>
          <w:rFonts w:ascii="Book Antiqua" w:eastAsia="Times New Roman" w:hAnsi="Book Antiqua" w:cs="Times New Roman"/>
          <w:b/>
          <w:u w:val="single"/>
        </w:rPr>
        <w:t xml:space="preserve"> nedožili 55 rokov, teda veku potrebného na začatie poberania doplnkového výsluhového dôchodku oproti osobám, ktoré rizikové práce v posledných rokoch nevykonávali</w:t>
      </w:r>
      <w:r w:rsidRPr="00057923">
        <w:rPr>
          <w:rFonts w:ascii="Book Antiqua" w:eastAsia="Times New Roman" w:hAnsi="Book Antiqua" w:cs="Times New Roman"/>
          <w:b/>
        </w:rPr>
        <w:t>.</w:t>
      </w:r>
      <w:r w:rsidRPr="00057923">
        <w:rPr>
          <w:rFonts w:ascii="Book Antiqua" w:eastAsia="Times New Roman" w:hAnsi="Book Antiqua" w:cs="Times New Roman"/>
        </w:rPr>
        <w:t xml:space="preserve"> </w:t>
      </w:r>
      <w:r w:rsidRPr="00057923">
        <w:rPr>
          <w:rFonts w:ascii="Book Antiqua" w:eastAsia="Times New Roman" w:hAnsi="Book Antiqua" w:cs="Times New Roman"/>
          <w:vertAlign w:val="superscript"/>
        </w:rPr>
        <w:footnoteReference w:id="26"/>
      </w:r>
    </w:p>
    <w:p w:rsidR="00057923" w:rsidRPr="00057923" w:rsidRDefault="00057923" w:rsidP="00057923">
      <w:pPr>
        <w:spacing w:after="0" w:line="276" w:lineRule="auto"/>
        <w:ind w:firstLine="702"/>
        <w:contextualSpacing/>
        <w:jc w:val="both"/>
        <w:rPr>
          <w:rFonts w:ascii="Book Antiqua" w:eastAsia="Times New Roman" w:hAnsi="Book Antiqua" w:cs="Times New Roman"/>
        </w:rPr>
      </w:pPr>
    </w:p>
    <w:p w:rsidR="00057923" w:rsidRPr="00057923" w:rsidRDefault="00057923" w:rsidP="00057923">
      <w:pPr>
        <w:spacing w:after="120" w:line="276" w:lineRule="auto"/>
        <w:ind w:firstLine="360"/>
        <w:jc w:val="both"/>
        <w:rPr>
          <w:rFonts w:ascii="Book Antiqua" w:eastAsia="Times New Roman" w:hAnsi="Book Antiqua" w:cs="Times New Roman"/>
        </w:rPr>
      </w:pPr>
      <w:r w:rsidRPr="00057923">
        <w:rPr>
          <w:rFonts w:ascii="Book Antiqua" w:eastAsia="Times New Roman" w:hAnsi="Book Antiqua" w:cs="Times New Roman"/>
        </w:rPr>
        <w:t xml:space="preserve">Na základe dát od Sociálnej poisťovne o poistencoch a ich zamestnávateľoch vieme určiť priemernú mzdu u všetkých zamestnávateľov. V spojení s dátami poskytnutými doplnkovými dôchodkovými spoločnosťami o zamestnávateľoch, ktorí majú uzatvorené zamestnávateľské zmluvy v jednotlivých spoločnostiach a prispievajú za účastníkov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w:t>
      </w:r>
      <w:proofErr w:type="spellStart"/>
      <w:r w:rsidRPr="00057923">
        <w:rPr>
          <w:rFonts w:ascii="Book Antiqua" w:eastAsia="Times New Roman" w:hAnsi="Book Antiqua" w:cs="Times New Roman"/>
        </w:rPr>
        <w:t>nerizikárov</w:t>
      </w:r>
      <w:proofErr w:type="spellEnd"/>
      <w:r w:rsidRPr="00057923">
        <w:rPr>
          <w:rFonts w:ascii="Book Antiqua" w:eastAsia="Times New Roman" w:hAnsi="Book Antiqua" w:cs="Times New Roman"/>
        </w:rPr>
        <w:t xml:space="preserve"> alebo za obidve skupiny účastníkov, vieme určiť priemernú mzdu u zamestnávateľov, ktorí platia príspevky na DDS.  Odhad priemernej mzdy jednotlivých </w:t>
      </w:r>
      <w:r w:rsidRPr="00057923">
        <w:rPr>
          <w:rFonts w:ascii="Book Antiqua" w:eastAsia="Times New Roman" w:hAnsi="Book Antiqua" w:cs="Times New Roman"/>
        </w:rPr>
        <w:lastRenderedPageBreak/>
        <w:t xml:space="preserve">kategórií účastníkov v III. pilieri, uvádzaný v tabuľke 23 je však potrebné interpretovať v zmysle vyššie uvedených obmedzení. </w:t>
      </w:r>
    </w:p>
    <w:p w:rsidR="00057923" w:rsidRPr="00057923" w:rsidRDefault="00057923" w:rsidP="00057923">
      <w:pPr>
        <w:keepNext/>
        <w:spacing w:after="200" w:line="276" w:lineRule="auto"/>
        <w:jc w:val="both"/>
        <w:rPr>
          <w:rFonts w:ascii="Book Antiqua" w:eastAsia="Times New Roman" w:hAnsi="Book Antiqua" w:cs="Times New Roman"/>
          <w:b/>
          <w:bCs/>
        </w:rPr>
      </w:pPr>
      <w:bookmarkStart w:id="10" w:name="_Ref507758606"/>
      <w:r w:rsidRPr="00057923">
        <w:rPr>
          <w:rFonts w:ascii="Book Antiqua" w:eastAsia="Times New Roman" w:hAnsi="Book Antiqua" w:cs="Times New Roman"/>
          <w:b/>
          <w:bCs/>
        </w:rPr>
        <w:t>Tabuľka</w:t>
      </w:r>
      <w:bookmarkEnd w:id="10"/>
      <w:r w:rsidRPr="00057923">
        <w:rPr>
          <w:rFonts w:ascii="Book Antiqua" w:eastAsia="Times New Roman" w:hAnsi="Book Antiqua" w:cs="Times New Roman"/>
          <w:b/>
          <w:bCs/>
        </w:rPr>
        <w:t xml:space="preserve"> 23: </w:t>
      </w:r>
      <w:r w:rsidRPr="00057923">
        <w:rPr>
          <w:rFonts w:ascii="Book Antiqua" w:eastAsia="Times New Roman" w:hAnsi="Book Antiqua" w:cs="Times New Roman"/>
          <w:bCs/>
        </w:rPr>
        <w:t>Odhad priemernej mzdy u zamestnávateľov, ktorí majú uzatvorené zamestnávateľské zmluvy v aspoň jednej DDS</w:t>
      </w:r>
    </w:p>
    <w:tbl>
      <w:tblPr>
        <w:tblStyle w:val="Mriekatabuky"/>
        <w:tblW w:w="5000" w:type="pct"/>
        <w:tblLayout w:type="fixed"/>
        <w:tblLook w:val="04A0" w:firstRow="1" w:lastRow="0" w:firstColumn="1" w:lastColumn="0" w:noHBand="0" w:noVBand="1"/>
      </w:tblPr>
      <w:tblGrid>
        <w:gridCol w:w="2596"/>
        <w:gridCol w:w="2154"/>
        <w:gridCol w:w="2154"/>
        <w:gridCol w:w="2156"/>
      </w:tblGrid>
      <w:tr w:rsidR="00057923" w:rsidRPr="00057923" w:rsidTr="00A62543">
        <w:trPr>
          <w:trHeight w:val="255"/>
        </w:trPr>
        <w:tc>
          <w:tcPr>
            <w:tcW w:w="1432" w:type="pct"/>
            <w:noWrap/>
            <w:hideMark/>
          </w:tcPr>
          <w:p w:rsidR="00057923" w:rsidRPr="00057923" w:rsidRDefault="00057923" w:rsidP="00057923">
            <w:pPr>
              <w:rPr>
                <w:rFonts w:ascii="Book Antiqua" w:hAnsi="Book Antiqua"/>
                <w:lang w:eastAsia="sk-SK"/>
              </w:rPr>
            </w:pPr>
          </w:p>
        </w:tc>
        <w:tc>
          <w:tcPr>
            <w:tcW w:w="1189" w:type="pct"/>
            <w:noWrap/>
            <w:hideMark/>
          </w:tcPr>
          <w:p w:rsidR="00057923" w:rsidRPr="00057923" w:rsidRDefault="00057923" w:rsidP="00057923">
            <w:pPr>
              <w:jc w:val="center"/>
              <w:rPr>
                <w:rFonts w:ascii="Book Antiqua" w:hAnsi="Book Antiqua"/>
                <w:lang w:eastAsia="sk-SK"/>
              </w:rPr>
            </w:pPr>
            <w:r w:rsidRPr="00057923">
              <w:rPr>
                <w:rFonts w:ascii="Book Antiqua" w:hAnsi="Book Antiqua"/>
                <w:lang w:eastAsia="sk-SK"/>
              </w:rPr>
              <w:t xml:space="preserve"> Zamestnávatelia s uzatvorenou zmluvou na DDS,  zamestnávajúci aj </w:t>
            </w:r>
            <w:proofErr w:type="spellStart"/>
            <w:r w:rsidRPr="00057923">
              <w:rPr>
                <w:rFonts w:ascii="Book Antiqua" w:hAnsi="Book Antiqua"/>
                <w:b/>
                <w:lang w:eastAsia="sk-SK"/>
              </w:rPr>
              <w:t>rizikárov</w:t>
            </w:r>
            <w:proofErr w:type="spellEnd"/>
          </w:p>
        </w:tc>
        <w:tc>
          <w:tcPr>
            <w:tcW w:w="1189" w:type="pct"/>
            <w:noWrap/>
            <w:hideMark/>
          </w:tcPr>
          <w:p w:rsidR="00057923" w:rsidRPr="00057923" w:rsidRDefault="00057923" w:rsidP="00057923">
            <w:pPr>
              <w:jc w:val="center"/>
              <w:rPr>
                <w:rFonts w:ascii="Book Antiqua" w:hAnsi="Book Antiqua"/>
                <w:b/>
                <w:lang w:eastAsia="sk-SK"/>
              </w:rPr>
            </w:pPr>
            <w:r w:rsidRPr="00057923">
              <w:rPr>
                <w:rFonts w:ascii="Book Antiqua" w:hAnsi="Book Antiqua"/>
                <w:lang w:eastAsia="sk-SK"/>
              </w:rPr>
              <w:t xml:space="preserve">Zamestnávatelia s uzatvorenou zmluvou na DDS, zamestnávajúci </w:t>
            </w:r>
            <w:r w:rsidRPr="00057923">
              <w:rPr>
                <w:rFonts w:ascii="Book Antiqua" w:hAnsi="Book Antiqua"/>
                <w:b/>
                <w:lang w:eastAsia="sk-SK"/>
              </w:rPr>
              <w:t xml:space="preserve">iba </w:t>
            </w:r>
            <w:proofErr w:type="spellStart"/>
            <w:r w:rsidRPr="00057923">
              <w:rPr>
                <w:rFonts w:ascii="Book Antiqua" w:hAnsi="Book Antiqua"/>
                <w:b/>
                <w:lang w:eastAsia="sk-SK"/>
              </w:rPr>
              <w:t>nerizikárov</w:t>
            </w:r>
            <w:proofErr w:type="spellEnd"/>
          </w:p>
        </w:tc>
        <w:tc>
          <w:tcPr>
            <w:tcW w:w="1190" w:type="pct"/>
            <w:noWrap/>
            <w:hideMark/>
          </w:tcPr>
          <w:p w:rsidR="00057923" w:rsidRPr="00057923" w:rsidRDefault="00057923" w:rsidP="00057923">
            <w:pPr>
              <w:jc w:val="center"/>
              <w:rPr>
                <w:rFonts w:ascii="Book Antiqua" w:hAnsi="Book Antiqua"/>
                <w:b/>
                <w:lang w:eastAsia="sk-SK"/>
              </w:rPr>
            </w:pPr>
            <w:r w:rsidRPr="00057923">
              <w:rPr>
                <w:rFonts w:ascii="Book Antiqua" w:hAnsi="Book Antiqua"/>
                <w:b/>
                <w:lang w:eastAsia="sk-SK"/>
              </w:rPr>
              <w:t xml:space="preserve">Spolu – zamestnávatelia </w:t>
            </w:r>
            <w:r w:rsidRPr="00057923">
              <w:rPr>
                <w:rFonts w:ascii="Book Antiqua" w:hAnsi="Book Antiqua"/>
                <w:lang w:eastAsia="sk-SK"/>
              </w:rPr>
              <w:t>s uzatvorenou zmluvou na DDS</w:t>
            </w:r>
            <w:r w:rsidRPr="00057923" w:rsidDel="0090453F">
              <w:rPr>
                <w:rFonts w:ascii="Book Antiqua" w:hAnsi="Book Antiqua"/>
                <w:b/>
                <w:lang w:eastAsia="sk-SK"/>
              </w:rPr>
              <w:t xml:space="preserve"> </w:t>
            </w:r>
          </w:p>
        </w:tc>
      </w:tr>
      <w:tr w:rsidR="00057923" w:rsidRPr="00057923" w:rsidTr="00A62543">
        <w:trPr>
          <w:trHeight w:val="700"/>
        </w:trPr>
        <w:tc>
          <w:tcPr>
            <w:tcW w:w="1432" w:type="pct"/>
            <w:noWrap/>
            <w:vAlign w:val="center"/>
            <w:hideMark/>
          </w:tcPr>
          <w:p w:rsidR="00057923" w:rsidRPr="00057923" w:rsidRDefault="00057923" w:rsidP="00057923">
            <w:pPr>
              <w:rPr>
                <w:rFonts w:ascii="Book Antiqua" w:hAnsi="Book Antiqua"/>
                <w:b/>
                <w:lang w:eastAsia="sk-SK"/>
              </w:rPr>
            </w:pPr>
            <w:r w:rsidRPr="00057923">
              <w:rPr>
                <w:rFonts w:ascii="Book Antiqua" w:hAnsi="Book Antiqua"/>
                <w:b/>
                <w:lang w:eastAsia="sk-SK"/>
              </w:rPr>
              <w:t xml:space="preserve">Priemerná mzda </w:t>
            </w:r>
          </w:p>
          <w:p w:rsidR="00057923" w:rsidRPr="00057923" w:rsidRDefault="00057923" w:rsidP="00057923">
            <w:pPr>
              <w:rPr>
                <w:rFonts w:ascii="Book Antiqua" w:hAnsi="Book Antiqua"/>
                <w:b/>
                <w:lang w:eastAsia="sk-SK"/>
              </w:rPr>
            </w:pPr>
            <w:r w:rsidRPr="00057923">
              <w:rPr>
                <w:rFonts w:ascii="Book Antiqua" w:hAnsi="Book Antiqua"/>
                <w:b/>
                <w:lang w:eastAsia="sk-SK"/>
              </w:rPr>
              <w:t>(v roku 2016)</w:t>
            </w:r>
          </w:p>
        </w:tc>
        <w:tc>
          <w:tcPr>
            <w:tcW w:w="1189" w:type="pct"/>
            <w:noWrap/>
            <w:vAlign w:val="center"/>
            <w:hideMark/>
          </w:tcPr>
          <w:p w:rsidR="00057923" w:rsidRPr="00057923" w:rsidRDefault="00057923" w:rsidP="00057923">
            <w:pPr>
              <w:jc w:val="center"/>
              <w:rPr>
                <w:rFonts w:ascii="Book Antiqua" w:hAnsi="Book Antiqua"/>
                <w:b/>
                <w:lang w:eastAsia="sk-SK"/>
              </w:rPr>
            </w:pPr>
            <w:r w:rsidRPr="00057923">
              <w:rPr>
                <w:rFonts w:ascii="Book Antiqua" w:hAnsi="Book Antiqua"/>
                <w:b/>
                <w:lang w:eastAsia="sk-SK"/>
              </w:rPr>
              <w:t>1 234 eur</w:t>
            </w:r>
          </w:p>
        </w:tc>
        <w:tc>
          <w:tcPr>
            <w:tcW w:w="1189" w:type="pct"/>
            <w:noWrap/>
            <w:vAlign w:val="center"/>
            <w:hideMark/>
          </w:tcPr>
          <w:p w:rsidR="00057923" w:rsidRPr="00057923" w:rsidRDefault="00057923" w:rsidP="00057923">
            <w:pPr>
              <w:jc w:val="center"/>
              <w:rPr>
                <w:rFonts w:ascii="Book Antiqua" w:hAnsi="Book Antiqua"/>
                <w:lang w:eastAsia="sk-SK"/>
              </w:rPr>
            </w:pPr>
            <w:r w:rsidRPr="00057923">
              <w:rPr>
                <w:rFonts w:ascii="Book Antiqua" w:hAnsi="Book Antiqua"/>
                <w:lang w:eastAsia="sk-SK"/>
              </w:rPr>
              <w:t>1 106 eur</w:t>
            </w:r>
          </w:p>
        </w:tc>
        <w:tc>
          <w:tcPr>
            <w:tcW w:w="1190" w:type="pct"/>
            <w:noWrap/>
            <w:vAlign w:val="center"/>
            <w:hideMark/>
          </w:tcPr>
          <w:p w:rsidR="00057923" w:rsidRPr="00057923" w:rsidRDefault="00057923" w:rsidP="00057923">
            <w:pPr>
              <w:jc w:val="center"/>
              <w:rPr>
                <w:rFonts w:ascii="Book Antiqua" w:hAnsi="Book Antiqua"/>
                <w:lang w:eastAsia="sk-SK"/>
              </w:rPr>
            </w:pPr>
            <w:r w:rsidRPr="00057923">
              <w:rPr>
                <w:rFonts w:ascii="Book Antiqua" w:hAnsi="Book Antiqua"/>
                <w:lang w:eastAsia="sk-SK"/>
              </w:rPr>
              <w:t>1 118 eur</w:t>
            </w:r>
          </w:p>
        </w:tc>
      </w:tr>
      <w:tr w:rsidR="00057923" w:rsidRPr="00057923" w:rsidTr="00A62543">
        <w:trPr>
          <w:trHeight w:val="851"/>
        </w:trPr>
        <w:tc>
          <w:tcPr>
            <w:tcW w:w="1432" w:type="pct"/>
            <w:noWrap/>
            <w:vAlign w:val="center"/>
          </w:tcPr>
          <w:p w:rsidR="00057923" w:rsidRPr="00057923" w:rsidRDefault="00057923" w:rsidP="00057923">
            <w:pPr>
              <w:rPr>
                <w:rFonts w:ascii="Book Antiqua" w:hAnsi="Book Antiqua"/>
                <w:b/>
                <w:lang w:eastAsia="sk-SK"/>
              </w:rPr>
            </w:pPr>
            <w:r w:rsidRPr="00057923">
              <w:rPr>
                <w:rFonts w:ascii="Book Antiqua" w:hAnsi="Book Antiqua"/>
                <w:b/>
                <w:lang w:eastAsia="sk-SK"/>
              </w:rPr>
              <w:t>% z priemernej mzdy v celom hospodárstve v roku 2016 (</w:t>
            </w:r>
            <w:proofErr w:type="spellStart"/>
            <w:r w:rsidRPr="00057923">
              <w:rPr>
                <w:rFonts w:ascii="Book Antiqua" w:hAnsi="Book Antiqua"/>
                <w:b/>
                <w:lang w:eastAsia="sk-SK"/>
              </w:rPr>
              <w:t>t.j</w:t>
            </w:r>
            <w:proofErr w:type="spellEnd"/>
            <w:r w:rsidRPr="00057923">
              <w:rPr>
                <w:rFonts w:ascii="Book Antiqua" w:hAnsi="Book Antiqua"/>
                <w:b/>
                <w:lang w:eastAsia="sk-SK"/>
              </w:rPr>
              <w:t>. 912 eur)</w:t>
            </w:r>
          </w:p>
        </w:tc>
        <w:tc>
          <w:tcPr>
            <w:tcW w:w="1189" w:type="pct"/>
            <w:noWrap/>
            <w:vAlign w:val="center"/>
          </w:tcPr>
          <w:p w:rsidR="00057923" w:rsidRPr="00057923" w:rsidRDefault="00057923" w:rsidP="00057923">
            <w:pPr>
              <w:jc w:val="center"/>
              <w:rPr>
                <w:rFonts w:ascii="Book Antiqua" w:hAnsi="Book Antiqua"/>
                <w:b/>
                <w:lang w:eastAsia="sk-SK"/>
              </w:rPr>
            </w:pPr>
            <w:r w:rsidRPr="00057923">
              <w:rPr>
                <w:rFonts w:ascii="Book Antiqua" w:hAnsi="Book Antiqua"/>
                <w:b/>
                <w:lang w:eastAsia="sk-SK"/>
              </w:rPr>
              <w:t>135 %</w:t>
            </w:r>
          </w:p>
        </w:tc>
        <w:tc>
          <w:tcPr>
            <w:tcW w:w="1189" w:type="pct"/>
            <w:noWrap/>
            <w:vAlign w:val="center"/>
          </w:tcPr>
          <w:p w:rsidR="00057923" w:rsidRPr="00057923" w:rsidRDefault="00057923" w:rsidP="00057923">
            <w:pPr>
              <w:jc w:val="center"/>
              <w:rPr>
                <w:rFonts w:ascii="Book Antiqua" w:hAnsi="Book Antiqua"/>
                <w:lang w:eastAsia="sk-SK"/>
              </w:rPr>
            </w:pPr>
            <w:r w:rsidRPr="00057923">
              <w:rPr>
                <w:rFonts w:ascii="Book Antiqua" w:hAnsi="Book Antiqua"/>
                <w:lang w:eastAsia="sk-SK"/>
              </w:rPr>
              <w:t>121 %</w:t>
            </w:r>
          </w:p>
        </w:tc>
        <w:tc>
          <w:tcPr>
            <w:tcW w:w="1190" w:type="pct"/>
            <w:noWrap/>
            <w:vAlign w:val="center"/>
          </w:tcPr>
          <w:p w:rsidR="00057923" w:rsidRPr="00057923" w:rsidRDefault="00057923" w:rsidP="00057923">
            <w:pPr>
              <w:jc w:val="center"/>
              <w:rPr>
                <w:rFonts w:ascii="Book Antiqua" w:hAnsi="Book Antiqua"/>
                <w:lang w:eastAsia="sk-SK"/>
              </w:rPr>
            </w:pPr>
            <w:r w:rsidRPr="00057923">
              <w:rPr>
                <w:rFonts w:ascii="Book Antiqua" w:hAnsi="Book Antiqua"/>
                <w:lang w:eastAsia="sk-SK"/>
              </w:rPr>
              <w:t>123 %</w:t>
            </w:r>
          </w:p>
        </w:tc>
      </w:tr>
    </w:tbl>
    <w:p w:rsidR="00057923" w:rsidRPr="00057923" w:rsidRDefault="00057923" w:rsidP="00057923">
      <w:pPr>
        <w:spacing w:after="200" w:line="276" w:lineRule="auto"/>
        <w:jc w:val="both"/>
        <w:rPr>
          <w:rFonts w:ascii="Times New Roman" w:eastAsia="Times New Roman" w:hAnsi="Times New Roman" w:cs="Times New Roman"/>
          <w:i/>
          <w:sz w:val="24"/>
          <w:szCs w:val="24"/>
        </w:rPr>
      </w:pPr>
      <w:r w:rsidRPr="00057923">
        <w:rPr>
          <w:rFonts w:ascii="Book Antiqua" w:eastAsia="Times New Roman" w:hAnsi="Book Antiqua" w:cs="Times New Roman"/>
          <w:i/>
          <w:sz w:val="20"/>
          <w:szCs w:val="24"/>
        </w:rPr>
        <w:t xml:space="preserve">Zdroj: doplnkové dôchodkové </w:t>
      </w:r>
      <w:r w:rsidRPr="00057923">
        <w:rPr>
          <w:rFonts w:ascii="Book Antiqua" w:eastAsia="Times New Roman" w:hAnsi="Book Antiqua" w:cs="Times New Roman"/>
          <w:i/>
          <w:sz w:val="20"/>
          <w:szCs w:val="20"/>
        </w:rPr>
        <w:t>spoločnosti a Sociálna poisťovňa</w:t>
      </w:r>
    </w:p>
    <w:p w:rsidR="00057923" w:rsidRPr="00057923" w:rsidRDefault="00057923" w:rsidP="00057923">
      <w:pPr>
        <w:spacing w:after="120" w:line="276" w:lineRule="auto"/>
        <w:ind w:firstLine="357"/>
        <w:jc w:val="both"/>
        <w:rPr>
          <w:rFonts w:ascii="Book Antiqua" w:eastAsia="Times New Roman" w:hAnsi="Book Antiqua" w:cs="Times New Roman"/>
        </w:rPr>
      </w:pPr>
      <w:r w:rsidRPr="00057923">
        <w:rPr>
          <w:rFonts w:ascii="Book Antiqua" w:eastAsia="Times New Roman" w:hAnsi="Book Antiqua" w:cs="Times New Roman"/>
        </w:rPr>
        <w:t xml:space="preserve">Iný odhad  priemernej mzdy zamestnanca - </w:t>
      </w:r>
      <w:proofErr w:type="spellStart"/>
      <w:r w:rsidRPr="00057923">
        <w:rPr>
          <w:rFonts w:ascii="Book Antiqua" w:eastAsia="Times New Roman" w:hAnsi="Book Antiqua" w:cs="Times New Roman"/>
        </w:rPr>
        <w:t>rizikára</w:t>
      </w:r>
      <w:proofErr w:type="spellEnd"/>
      <w:r w:rsidRPr="00057923">
        <w:rPr>
          <w:rFonts w:ascii="Book Antiqua" w:eastAsia="Times New Roman" w:hAnsi="Book Antiqua" w:cs="Times New Roman"/>
        </w:rPr>
        <w:t xml:space="preserve"> môžeme urobiť aj na základe výsledku kontrolnej akcie </w:t>
      </w:r>
      <w:proofErr w:type="spellStart"/>
      <w:r w:rsidRPr="00057923">
        <w:rPr>
          <w:rFonts w:ascii="Book Antiqua" w:eastAsia="Times New Roman" w:hAnsi="Book Antiqua" w:cs="Times New Roman"/>
        </w:rPr>
        <w:t>Škrtič</w:t>
      </w:r>
      <w:proofErr w:type="spellEnd"/>
      <w:r w:rsidRPr="00057923">
        <w:rPr>
          <w:rFonts w:ascii="Book Antiqua" w:eastAsia="Times New Roman" w:hAnsi="Book Antiqua" w:cs="Times New Roman"/>
        </w:rPr>
        <w:t xml:space="preserve"> IV. Priemerný vymeriavací základ u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ktorí vykonávali práce u kontrolovaných zamestnávateľov v roku 2017 bol 1 295 eur, čo predstavovalo približne 136% z priemernej mesačnej mzdy v hospodárstve SR za rok 2017. V grafe 14 môžeme vidieť, že viac ako 70 % zo zamestnancov kontrolovaných zamestnávateľov zarábalo vyššiu priemernú mzdu ako 1 000 eur.</w:t>
      </w:r>
    </w:p>
    <w:p w:rsidR="00057923" w:rsidRPr="00057923" w:rsidRDefault="00057923" w:rsidP="00057923">
      <w:pPr>
        <w:keepNext/>
        <w:spacing w:after="200" w:line="276" w:lineRule="auto"/>
        <w:rPr>
          <w:rFonts w:ascii="Book Antiqua" w:eastAsia="Times New Roman" w:hAnsi="Book Antiqua" w:cs="Times New Roman"/>
        </w:rPr>
      </w:pPr>
      <w:bookmarkStart w:id="11" w:name="_Ref507488527"/>
      <w:r w:rsidRPr="00057923">
        <w:rPr>
          <w:rFonts w:ascii="Book Antiqua" w:eastAsia="Times New Roman" w:hAnsi="Book Antiqua" w:cs="Times New Roman"/>
          <w:b/>
        </w:rPr>
        <w:t>Graf</w:t>
      </w:r>
      <w:bookmarkEnd w:id="11"/>
      <w:r w:rsidRPr="00057923">
        <w:rPr>
          <w:rFonts w:ascii="Book Antiqua" w:eastAsia="Times New Roman" w:hAnsi="Book Antiqua" w:cs="Times New Roman"/>
          <w:b/>
        </w:rPr>
        <w:t xml:space="preserve"> 14:</w:t>
      </w:r>
      <w:r w:rsidRPr="00057923">
        <w:rPr>
          <w:rFonts w:ascii="Book Antiqua" w:eastAsia="Times New Roman" w:hAnsi="Book Antiqua" w:cs="Times New Roman"/>
        </w:rPr>
        <w:t xml:space="preserve"> Percentuálny podiel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podľa výšky vymeriavacieho základu</w:t>
      </w:r>
    </w:p>
    <w:p w:rsidR="00057923" w:rsidRPr="00057923" w:rsidRDefault="00057923" w:rsidP="00057923">
      <w:pPr>
        <w:spacing w:after="120" w:line="276" w:lineRule="auto"/>
        <w:jc w:val="center"/>
        <w:rPr>
          <w:rFonts w:ascii="Book Antiqua" w:eastAsia="Times New Roman" w:hAnsi="Book Antiqua" w:cs="Times New Roman"/>
          <w:b/>
        </w:rPr>
      </w:pPr>
      <w:r w:rsidRPr="00057923">
        <w:rPr>
          <w:rFonts w:eastAsia="Times New Roman" w:cs="Times New Roman"/>
          <w:noProof/>
          <w:lang w:eastAsia="sk-SK"/>
        </w:rPr>
        <w:drawing>
          <wp:inline distT="0" distB="0" distL="0" distR="0">
            <wp:extent cx="5815330" cy="2052955"/>
            <wp:effectExtent l="0" t="0" r="13970" b="444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57923" w:rsidRPr="00057923" w:rsidRDefault="00057923" w:rsidP="00057923">
      <w:pPr>
        <w:spacing w:after="12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 xml:space="preserve">Zdroj: Výsledky kontrolnej akcie </w:t>
      </w:r>
      <w:proofErr w:type="spellStart"/>
      <w:r w:rsidRPr="00057923">
        <w:rPr>
          <w:rFonts w:ascii="Book Antiqua" w:eastAsia="Times New Roman" w:hAnsi="Book Antiqua" w:cs="Times New Roman"/>
          <w:i/>
          <w:sz w:val="20"/>
          <w:szCs w:val="20"/>
        </w:rPr>
        <w:t>Škrtič</w:t>
      </w:r>
      <w:proofErr w:type="spellEnd"/>
      <w:r w:rsidRPr="00057923">
        <w:rPr>
          <w:rFonts w:ascii="Book Antiqua" w:eastAsia="Times New Roman" w:hAnsi="Book Antiqua" w:cs="Times New Roman"/>
          <w:i/>
          <w:sz w:val="20"/>
          <w:szCs w:val="20"/>
        </w:rPr>
        <w:t xml:space="preserve"> IV </w:t>
      </w:r>
    </w:p>
    <w:p w:rsidR="00057923" w:rsidRPr="00057923" w:rsidRDefault="00057923" w:rsidP="00057923">
      <w:pPr>
        <w:spacing w:after="120" w:line="276" w:lineRule="auto"/>
        <w:ind w:firstLine="708"/>
        <w:jc w:val="both"/>
        <w:rPr>
          <w:rFonts w:ascii="Book Antiqua" w:eastAsia="Times New Roman" w:hAnsi="Book Antiqua" w:cs="Times New Roman"/>
          <w:b/>
        </w:rPr>
      </w:pPr>
      <w:r w:rsidRPr="00057923">
        <w:rPr>
          <w:rFonts w:ascii="Book Antiqua" w:eastAsia="Times New Roman" w:hAnsi="Book Antiqua" w:cs="Times New Roman"/>
          <w:b/>
        </w:rPr>
        <w:t xml:space="preserve">Napriek tomu, že uvedené čísla sú iba odhadmi priemernej mzdy </w:t>
      </w:r>
      <w:proofErr w:type="spellStart"/>
      <w:r w:rsidRPr="00057923">
        <w:rPr>
          <w:rFonts w:ascii="Book Antiqua" w:eastAsia="Times New Roman" w:hAnsi="Book Antiqua" w:cs="Times New Roman"/>
          <w:b/>
        </w:rPr>
        <w:t>rizikárov</w:t>
      </w:r>
      <w:proofErr w:type="spellEnd"/>
      <w:r w:rsidRPr="00057923">
        <w:rPr>
          <w:rFonts w:ascii="Book Antiqua" w:eastAsia="Times New Roman" w:hAnsi="Book Antiqua" w:cs="Times New Roman"/>
          <w:b/>
        </w:rPr>
        <w:t xml:space="preserve"> v roku 2016 a 2017, v prípade obidvoch prístupov  bola priemerná mzda </w:t>
      </w:r>
      <w:proofErr w:type="spellStart"/>
      <w:r w:rsidRPr="00057923">
        <w:rPr>
          <w:rFonts w:ascii="Book Antiqua" w:eastAsia="Times New Roman" w:hAnsi="Book Antiqua" w:cs="Times New Roman"/>
          <w:b/>
        </w:rPr>
        <w:t>rizikárov</w:t>
      </w:r>
      <w:proofErr w:type="spellEnd"/>
      <w:r w:rsidRPr="00057923">
        <w:rPr>
          <w:rFonts w:ascii="Book Antiqua" w:eastAsia="Times New Roman" w:hAnsi="Book Antiqua" w:cs="Times New Roman"/>
          <w:b/>
        </w:rPr>
        <w:t xml:space="preserve"> vyššia ako priemerná mesačná mzda v národnom hospodárstve SR - na úrovni cca 135 %. </w:t>
      </w:r>
    </w:p>
    <w:p w:rsidR="00057923" w:rsidRPr="00057923" w:rsidRDefault="00057923" w:rsidP="00057923">
      <w:pPr>
        <w:spacing w:after="120" w:line="276" w:lineRule="auto"/>
        <w:ind w:firstLine="709"/>
        <w:jc w:val="both"/>
        <w:rPr>
          <w:rFonts w:ascii="Book Antiqua" w:eastAsia="Times New Roman" w:hAnsi="Book Antiqua" w:cs="Times New Roman"/>
          <w:b/>
        </w:rPr>
      </w:pPr>
      <w:r w:rsidRPr="00057923">
        <w:rPr>
          <w:rFonts w:ascii="Book Antiqua" w:eastAsia="Times New Roman" w:hAnsi="Book Antiqua" w:cs="Times New Roman"/>
          <w:b/>
        </w:rPr>
        <w:t xml:space="preserve">Na základe zistení uvedených v tejto podkapitole je možné konštatovať signifikantne vyššie čerpanie nemocenského ako aj využívanie invalidných dôchodkov v prípade </w:t>
      </w:r>
      <w:proofErr w:type="spellStart"/>
      <w:r w:rsidRPr="00057923">
        <w:rPr>
          <w:rFonts w:ascii="Book Antiqua" w:eastAsia="Times New Roman" w:hAnsi="Book Antiqua" w:cs="Times New Roman"/>
          <w:b/>
        </w:rPr>
        <w:t>rizikárov</w:t>
      </w:r>
      <w:proofErr w:type="spellEnd"/>
      <w:r w:rsidRPr="00057923">
        <w:rPr>
          <w:rFonts w:ascii="Book Antiqua" w:eastAsia="Times New Roman" w:hAnsi="Book Antiqua" w:cs="Times New Roman"/>
          <w:b/>
        </w:rPr>
        <w:t>. Na druhej strane je nutné povedať, že u </w:t>
      </w:r>
      <w:proofErr w:type="spellStart"/>
      <w:r w:rsidRPr="00057923">
        <w:rPr>
          <w:rFonts w:ascii="Book Antiqua" w:eastAsia="Times New Roman" w:hAnsi="Book Antiqua" w:cs="Times New Roman"/>
          <w:b/>
        </w:rPr>
        <w:t>rizikárov</w:t>
      </w:r>
      <w:proofErr w:type="spellEnd"/>
      <w:r w:rsidRPr="00057923">
        <w:rPr>
          <w:rFonts w:ascii="Book Antiqua" w:eastAsia="Times New Roman" w:hAnsi="Book Antiqua" w:cs="Times New Roman"/>
          <w:b/>
        </w:rPr>
        <w:t xml:space="preserve"> môžeme predpokladať taktiež signifikantne vyššie platové ohodnotenie v porovnaní </w:t>
      </w:r>
      <w:proofErr w:type="spellStart"/>
      <w:r w:rsidRPr="00057923">
        <w:rPr>
          <w:rFonts w:ascii="Book Antiqua" w:eastAsia="Times New Roman" w:hAnsi="Book Antiqua" w:cs="Times New Roman"/>
          <w:b/>
        </w:rPr>
        <w:t>nerizikármi</w:t>
      </w:r>
      <w:proofErr w:type="spellEnd"/>
      <w:r w:rsidRPr="00057923">
        <w:rPr>
          <w:rFonts w:ascii="Book Antiqua" w:eastAsia="Times New Roman" w:hAnsi="Book Antiqua" w:cs="Times New Roman"/>
          <w:b/>
        </w:rPr>
        <w:t xml:space="preserve">, čo taktiež čiastočne môže kompenzovať výpadok príjmov v čase poberania dávky alebo </w:t>
      </w:r>
      <w:r w:rsidRPr="00057923">
        <w:rPr>
          <w:rFonts w:ascii="Book Antiqua" w:eastAsia="Times New Roman" w:hAnsi="Book Antiqua" w:cs="Times New Roman"/>
          <w:b/>
        </w:rPr>
        <w:lastRenderedPageBreak/>
        <w:t>invalidného dôchodku. Naše porovnania a odhady však môžu byť na základe vyššie uvedených obmedzení dát mierne skreslené a treba ich interpretovať opatrne spolu so všetkými obmedzeniami, ktoré s nimi súvisia.</w:t>
      </w:r>
    </w:p>
    <w:p w:rsidR="00057923" w:rsidRPr="00057923" w:rsidRDefault="00057923" w:rsidP="00057923">
      <w:pPr>
        <w:spacing w:after="120" w:line="276" w:lineRule="auto"/>
        <w:jc w:val="both"/>
        <w:rPr>
          <w:rFonts w:ascii="Times New Roman" w:eastAsia="Times New Roman" w:hAnsi="Times New Roman" w:cs="Times New Roman"/>
          <w:b/>
          <w:i/>
        </w:rPr>
      </w:pPr>
      <w:r w:rsidRPr="00057923">
        <w:rPr>
          <w:rFonts w:ascii="Book Antiqua" w:eastAsia="Times New Roman" w:hAnsi="Book Antiqua" w:cs="Times New Roman"/>
          <w:b/>
          <w:i/>
        </w:rPr>
        <w:t>4.2.5 Úmrtnosť osôb vykonávajúcich zamestnania zaradené do I., resp. II.  pracovnej kategórie a ich prepojenie s </w:t>
      </w:r>
      <w:proofErr w:type="spellStart"/>
      <w:r w:rsidRPr="00057923">
        <w:rPr>
          <w:rFonts w:ascii="Book Antiqua" w:eastAsia="Times New Roman" w:hAnsi="Book Antiqua" w:cs="Times New Roman"/>
          <w:b/>
          <w:i/>
        </w:rPr>
        <w:t>rizikármi</w:t>
      </w:r>
      <w:proofErr w:type="spellEnd"/>
    </w:p>
    <w:p w:rsidR="00057923" w:rsidRPr="00057923" w:rsidRDefault="00057923" w:rsidP="00057923">
      <w:pPr>
        <w:autoSpaceDE w:val="0"/>
        <w:autoSpaceDN w:val="0"/>
        <w:adjustRightInd w:val="0"/>
        <w:spacing w:after="120" w:line="276" w:lineRule="auto"/>
        <w:ind w:firstLine="539"/>
        <w:jc w:val="both"/>
        <w:rPr>
          <w:rFonts w:ascii="Book Antiqua" w:eastAsia="Times New Roman" w:hAnsi="Book Antiqua" w:cs="Times New Roman"/>
        </w:rPr>
      </w:pPr>
      <w:r w:rsidRPr="00057923">
        <w:rPr>
          <w:rFonts w:ascii="Book Antiqua" w:eastAsia="Times New Roman" w:hAnsi="Book Antiqua" w:cs="Times New Roman"/>
        </w:rPr>
        <w:t>Zamestnania boli na účely dôchodkového zabezpečenia zaradené do 31. decembra 1999 podľa druhu vykonávaných prác do troch pracovných kategórií - viď. Príloha Tabuľka 13, resp. § 14 ods. 1 zákona č. 100/1988 Zb. o sociálnom zabezpečení v znení neskorších predpisov (ďalej len „zákon o sociálnom zabezpečení“). Do zvýhodnenej pracovnej kategórie (I. a II. pracovná kategória) mohli byť zaradené len zamestnania rizikové a zamestnania v zdraviu škodlivom prostredí. Do III. pracovnej kategórie patria zamestnania, ktoré nie sú zaradené do I. alebo II. pracovnej kategórie.</w:t>
      </w:r>
    </w:p>
    <w:p w:rsidR="00057923" w:rsidRPr="00057923" w:rsidRDefault="00057923" w:rsidP="00057923">
      <w:pPr>
        <w:autoSpaceDE w:val="0"/>
        <w:autoSpaceDN w:val="0"/>
        <w:adjustRightInd w:val="0"/>
        <w:spacing w:after="120" w:line="276" w:lineRule="auto"/>
        <w:ind w:firstLine="539"/>
        <w:jc w:val="both"/>
        <w:rPr>
          <w:rFonts w:ascii="Book Antiqua" w:eastAsia="Times New Roman" w:hAnsi="Book Antiqua" w:cs="Times New Roman"/>
        </w:rPr>
      </w:pPr>
      <w:r w:rsidRPr="00057923">
        <w:rPr>
          <w:rFonts w:ascii="Book Antiqua" w:eastAsia="Times New Roman" w:hAnsi="Book Antiqua" w:cs="Times New Roman"/>
        </w:rPr>
        <w:t xml:space="preserve">Jednou z možností ako sa bližšie pozrieť na optimálny vek, v ktorom by malo byť umožnené </w:t>
      </w:r>
      <w:proofErr w:type="spellStart"/>
      <w:r w:rsidRPr="00057923">
        <w:rPr>
          <w:rFonts w:ascii="Book Antiqua" w:eastAsia="Times New Roman" w:hAnsi="Book Antiqua" w:cs="Times New Roman"/>
        </w:rPr>
        <w:t>rizikárom</w:t>
      </w:r>
      <w:proofErr w:type="spellEnd"/>
      <w:r w:rsidRPr="00057923">
        <w:rPr>
          <w:rFonts w:ascii="Book Antiqua" w:eastAsia="Times New Roman" w:hAnsi="Book Antiqua" w:cs="Times New Roman"/>
        </w:rPr>
        <w:t xml:space="preserve"> odísť z trhu práce a financovať svoje potreby úsporami z DDS, je bližšie sa pozrieť na spojitosť medzi zaradzovaním zamestnaní do I. a II. pracovnej kategórie, resp. 3. a 4. rizikovej kategórie a následne na opodstatnenosť umožnenia skoršieho odchodu do dôchodku. </w:t>
      </w:r>
    </w:p>
    <w:p w:rsidR="00057923" w:rsidRPr="00057923" w:rsidRDefault="00057923" w:rsidP="00057923">
      <w:pPr>
        <w:spacing w:after="200" w:line="276" w:lineRule="auto"/>
        <w:ind w:firstLine="567"/>
        <w:jc w:val="both"/>
        <w:rPr>
          <w:rFonts w:ascii="Book Antiqua" w:eastAsia="Times New Roman" w:hAnsi="Book Antiqua" w:cs="Times New Roman"/>
          <w:b/>
        </w:rPr>
      </w:pPr>
      <w:r w:rsidRPr="00057923">
        <w:rPr>
          <w:rFonts w:ascii="Book Antiqua" w:eastAsia="Times New Roman" w:hAnsi="Book Antiqua" w:cs="Times New Roman"/>
          <w:b/>
        </w:rPr>
        <w:t xml:space="preserve">Napriek tomu, že zaradzovanie prác medzi rizikové sa v súčasnosti realizuje nezávisle od kategorizácie prác na účely dôchodkového zabezpečenia, resp. sociálneho poistenia v obidvoch prípadoch ale ide o rizikové práce, v dôsledku ktorých hrozí poškodenie zdravia alebo vznik choroby z povolania. Môžeme teda predpokladať podobnosť v úmrtnosti, resp. ohrození zdravia medzi jednou a druhou skupinou osôb. Čo sa týka dôchodkového veku môžeme vidieť rozdielny prístup k možnostiam skoršieho odchodu do dôchodku. Kým v prípade zamestnancov, ktorí vykonávali zamestnanie zaradené do I. kategórie bolo umožnené začať poberať starobný dôchodok po dovŕšení zníženého dôchodkového veku iba pri najrizikovejších skupinách zamestnaní </w:t>
      </w:r>
      <w:r w:rsidRPr="00057923">
        <w:rPr>
          <w:rFonts w:ascii="Book Antiqua" w:eastAsia="Times New Roman" w:hAnsi="Book Antiqua" w:cs="Times New Roman"/>
          <w:b/>
          <w:vertAlign w:val="superscript"/>
        </w:rPr>
        <w:footnoteReference w:id="27"/>
      </w:r>
      <w:r w:rsidRPr="00057923">
        <w:rPr>
          <w:rFonts w:ascii="Book Antiqua" w:eastAsia="Times New Roman" w:hAnsi="Book Antiqua" w:cs="Times New Roman"/>
          <w:b/>
        </w:rPr>
        <w:t xml:space="preserve"> v prípade </w:t>
      </w:r>
      <w:proofErr w:type="spellStart"/>
      <w:r w:rsidRPr="00057923">
        <w:rPr>
          <w:rFonts w:ascii="Book Antiqua" w:eastAsia="Times New Roman" w:hAnsi="Book Antiqua" w:cs="Times New Roman"/>
          <w:b/>
        </w:rPr>
        <w:t>rizikárov</w:t>
      </w:r>
      <w:proofErr w:type="spellEnd"/>
      <w:r w:rsidRPr="00057923">
        <w:rPr>
          <w:rFonts w:ascii="Book Antiqua" w:eastAsia="Times New Roman" w:hAnsi="Book Antiqua" w:cs="Times New Roman"/>
          <w:b/>
        </w:rPr>
        <w:t xml:space="preserve"> je umožnené začať poberať doplnkový výsluhový dôchodok z DDS po dovŕšení 55 rokov veku u všetkých bez výnimky. Ďalším rozdielom je, že napriek tomu, že </w:t>
      </w:r>
      <w:proofErr w:type="spellStart"/>
      <w:r w:rsidRPr="00057923">
        <w:rPr>
          <w:rFonts w:ascii="Book Antiqua" w:eastAsia="Times New Roman" w:hAnsi="Book Antiqua" w:cs="Times New Roman"/>
          <w:b/>
        </w:rPr>
        <w:t>rizikár</w:t>
      </w:r>
      <w:proofErr w:type="spellEnd"/>
      <w:r w:rsidRPr="00057923">
        <w:rPr>
          <w:rFonts w:ascii="Book Antiqua" w:eastAsia="Times New Roman" w:hAnsi="Book Antiqua" w:cs="Times New Roman"/>
          <w:b/>
        </w:rPr>
        <w:t xml:space="preserve"> začne poberať doplnkový výsluhový dôchodok už v 55 rokoch, neznamená to automaticky, že bude zabezpečený z tohto systému na dostatočnej úrovni až do dovŕšenia dôchodkového veku potrebného na vznik nároku na starobný dôchodok, resp. veku potrebného k získaniu nároku na predčasný starobný dôchodok z I. piliera. </w:t>
      </w:r>
    </w:p>
    <w:p w:rsidR="00057923" w:rsidRPr="00057923" w:rsidRDefault="00057923" w:rsidP="00057923">
      <w:pPr>
        <w:spacing w:after="200" w:line="276" w:lineRule="auto"/>
        <w:ind w:firstLine="567"/>
        <w:jc w:val="both"/>
        <w:rPr>
          <w:rFonts w:ascii="Book Antiqua" w:eastAsia="Times New Roman" w:hAnsi="Book Antiqua" w:cs="Times New Roman"/>
        </w:rPr>
      </w:pPr>
      <w:r w:rsidRPr="00057923">
        <w:rPr>
          <w:rFonts w:ascii="Book Antiqua" w:eastAsia="Times New Roman" w:hAnsi="Book Antiqua" w:cs="Times New Roman"/>
        </w:rPr>
        <w:t xml:space="preserve">Na základe dát od Sociálnej poisťovne o poberateľoch dôchodku priznaného podľa zákona o sociálnom zabezpečení sa vieme pozrieť na úmrtnosť týchto osôb podľa ich zaradenia do pracovnej kategórie. </w:t>
      </w:r>
      <w:r w:rsidRPr="00057923">
        <w:rPr>
          <w:rFonts w:ascii="Book Antiqua" w:eastAsia="Times New Roman" w:hAnsi="Book Antiqua" w:cs="Times New Roman"/>
          <w:b/>
          <w:u w:val="single"/>
        </w:rPr>
        <w:t xml:space="preserve">Na základe týchto dát a predpokladu podobnosti v zaradzovaní pracovných činností do pracovných kategórií a zaradzovaní prác medzi rizikové práce môžeme odhadnúť, či úmrtnosť osôb vykonávajúcich rizikové práce je vyššia </w:t>
      </w:r>
      <w:r w:rsidRPr="00057923">
        <w:rPr>
          <w:rFonts w:ascii="Book Antiqua" w:eastAsia="Times New Roman" w:hAnsi="Book Antiqua" w:cs="Times New Roman"/>
          <w:b/>
          <w:u w:val="single"/>
        </w:rPr>
        <w:lastRenderedPageBreak/>
        <w:t>ako úmrtnosť ostatných pracovníkov</w:t>
      </w:r>
      <w:r w:rsidRPr="00057923">
        <w:rPr>
          <w:rFonts w:ascii="Book Antiqua" w:eastAsia="Times New Roman" w:hAnsi="Book Antiqua" w:cs="Times New Roman"/>
          <w:b/>
        </w:rPr>
        <w:t xml:space="preserve"> </w:t>
      </w:r>
      <w:r w:rsidRPr="00057923">
        <w:rPr>
          <w:rFonts w:ascii="Book Antiqua" w:eastAsia="Times New Roman" w:hAnsi="Book Antiqua" w:cs="Times New Roman"/>
        </w:rPr>
        <w:t xml:space="preserve">a je opodstatnené uvažovať o zmenách v možnostiach skoršieho odchodu do dôchodku pre osoby vykonávajúce rizikové práce (napríklad vo forme doplnkového výsluhového dôchodku z DDS). </w:t>
      </w:r>
    </w:p>
    <w:p w:rsidR="00057923" w:rsidRPr="00057923" w:rsidRDefault="00057923" w:rsidP="00057923">
      <w:pPr>
        <w:spacing w:after="0" w:line="276" w:lineRule="auto"/>
        <w:ind w:firstLine="567"/>
        <w:jc w:val="both"/>
        <w:rPr>
          <w:rFonts w:ascii="Book Antiqua" w:eastAsia="Times New Roman" w:hAnsi="Book Antiqua" w:cs="Times New Roman"/>
        </w:rPr>
      </w:pPr>
      <w:r w:rsidRPr="00057923">
        <w:rPr>
          <w:rFonts w:ascii="Book Antiqua" w:eastAsia="Times New Roman" w:hAnsi="Book Antiqua" w:cs="Times New Roman"/>
        </w:rPr>
        <w:t xml:space="preserve">Jednou z možností ako sa pozrieť na to, či úmrtnosť osôb, ktorým bol priznaný dôchodok na základe I., resp. II. kategórie je odlišná ako v prípade osôb, ktorým bol dôchodok priznaný na základe III. kategórie, je </w:t>
      </w:r>
      <w:r w:rsidRPr="00057923">
        <w:rPr>
          <w:rFonts w:ascii="Book Antiqua" w:eastAsia="Times New Roman" w:hAnsi="Book Antiqua" w:cs="Times New Roman"/>
          <w:b/>
        </w:rPr>
        <w:t>porovnanie priemernej dĺžky dožitia v prípade týchto troch skupín osôb</w:t>
      </w:r>
      <w:r w:rsidRPr="00057923">
        <w:rPr>
          <w:rFonts w:ascii="Book Antiqua" w:eastAsia="Times New Roman" w:hAnsi="Book Antiqua" w:cs="Times New Roman"/>
        </w:rPr>
        <w:t>. Pri výpočte tohto ukazovateľa sme sa zamerali na skupiny osôb, ktoré sa narodili v rovnakom roku a pozreli sme sa na ich priemernú dĺžku života v prípade I., II. alebo III. kategórie. Keďže ako z nižšie uvedenej tabuľky vyplýva väčšina z osôb, ktorým bol priznaný starobný dôchodok z I. piliera ešte stále tento dôchodok poberá, je zrejmé, že uvedené prepočty sú uskutočnené iba na osoby, ktorým bola výplata dôchodku zastavená z dôvodu smrti. Uvedené výpočty sú uskutočnené zvlášť pre ženy a zvlášť pre mužov z dôvodu nižšieho priemerného dožitia mužov ako žien, čo by výsledky značne skresľovalo. Taktiež sme brali do úvahy iba tie ročníky narodenia, u ktorých bolo priznaných viac ako 100 dôchodkov podľa porovnávaných kategórií, ktorých výplata bola neskôr zastavená z dôvodu smrti.</w:t>
      </w:r>
    </w:p>
    <w:p w:rsidR="00057923" w:rsidRPr="00057923" w:rsidRDefault="00057923" w:rsidP="00057923">
      <w:pPr>
        <w:spacing w:after="0" w:line="276" w:lineRule="auto"/>
        <w:ind w:firstLine="567"/>
        <w:jc w:val="both"/>
        <w:rPr>
          <w:rFonts w:ascii="Book Antiqua" w:eastAsia="Times New Roman" w:hAnsi="Book Antiqua" w:cs="Times New Roman"/>
        </w:rPr>
      </w:pPr>
    </w:p>
    <w:p w:rsidR="00057923" w:rsidRPr="00057923" w:rsidRDefault="00057923" w:rsidP="00057923">
      <w:pPr>
        <w:keepNext/>
        <w:spacing w:after="200" w:line="276" w:lineRule="auto"/>
        <w:rPr>
          <w:rFonts w:ascii="Book Antiqua" w:eastAsia="Times New Roman" w:hAnsi="Book Antiqua" w:cs="Times New Roman"/>
          <w:b/>
          <w:bCs/>
        </w:rPr>
      </w:pPr>
      <w:bookmarkStart w:id="12" w:name="_Ref507416489"/>
      <w:bookmarkStart w:id="13" w:name="_Ref507416483"/>
      <w:r w:rsidRPr="00057923">
        <w:rPr>
          <w:rFonts w:ascii="Book Antiqua" w:eastAsia="Times New Roman" w:hAnsi="Book Antiqua" w:cs="Times New Roman"/>
          <w:b/>
          <w:bCs/>
        </w:rPr>
        <w:t>Tabuľka</w:t>
      </w:r>
      <w:bookmarkEnd w:id="12"/>
      <w:r w:rsidRPr="00057923">
        <w:rPr>
          <w:rFonts w:ascii="Book Antiqua" w:eastAsia="Times New Roman" w:hAnsi="Book Antiqua" w:cs="Times New Roman"/>
          <w:b/>
          <w:bCs/>
        </w:rPr>
        <w:t xml:space="preserve"> 24: </w:t>
      </w:r>
      <w:r w:rsidRPr="00057923">
        <w:rPr>
          <w:rFonts w:ascii="Book Antiqua" w:eastAsia="Times New Roman" w:hAnsi="Book Antiqua" w:cs="Times New Roman"/>
          <w:bCs/>
        </w:rPr>
        <w:t>Porovnanie priemernej dĺžky života u osôb, ktorým bol priznaný dôchodok podľa I., II. alebo III. pracovnej kategórie</w:t>
      </w:r>
      <w:bookmarkEnd w:id="13"/>
    </w:p>
    <w:tbl>
      <w:tblPr>
        <w:tblW w:w="5000" w:type="pct"/>
        <w:tblCellMar>
          <w:left w:w="70" w:type="dxa"/>
          <w:right w:w="70" w:type="dxa"/>
        </w:tblCellMar>
        <w:tblLook w:val="04A0" w:firstRow="1" w:lastRow="0" w:firstColumn="1" w:lastColumn="0" w:noHBand="0" w:noVBand="1"/>
      </w:tblPr>
      <w:tblGrid>
        <w:gridCol w:w="1507"/>
        <w:gridCol w:w="1661"/>
        <w:gridCol w:w="1662"/>
        <w:gridCol w:w="1662"/>
        <w:gridCol w:w="1278"/>
        <w:gridCol w:w="1280"/>
      </w:tblGrid>
      <w:tr w:rsidR="00057923" w:rsidRPr="00057923" w:rsidTr="00A62543">
        <w:trPr>
          <w:trHeight w:val="1582"/>
        </w:trPr>
        <w:tc>
          <w:tcPr>
            <w:tcW w:w="833" w:type="pct"/>
            <w:tcBorders>
              <w:top w:val="single" w:sz="8" w:space="0" w:color="auto"/>
              <w:left w:val="single" w:sz="8" w:space="0" w:color="auto"/>
              <w:bottom w:val="single" w:sz="8"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Times New Roman"/>
                <w:color w:val="000000"/>
                <w:sz w:val="20"/>
                <w:lang w:eastAsia="sk-SK"/>
              </w:rPr>
            </w:pPr>
            <w:r w:rsidRPr="00057923">
              <w:rPr>
                <w:rFonts w:ascii="Book Antiqua" w:eastAsia="Times New Roman" w:hAnsi="Book Antiqua" w:cs="Times New Roman"/>
                <w:color w:val="000000"/>
                <w:sz w:val="20"/>
                <w:lang w:eastAsia="sk-SK"/>
              </w:rPr>
              <w:t> </w:t>
            </w:r>
          </w:p>
        </w:tc>
        <w:tc>
          <w:tcPr>
            <w:tcW w:w="918" w:type="pct"/>
            <w:tcBorders>
              <w:top w:val="single" w:sz="8" w:space="0" w:color="auto"/>
              <w:left w:val="nil"/>
              <w:bottom w:val="single" w:sz="8"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Times New Roman"/>
                <w:b/>
                <w:color w:val="000000"/>
                <w:sz w:val="20"/>
                <w:lang w:eastAsia="sk-SK"/>
              </w:rPr>
            </w:pPr>
            <w:r w:rsidRPr="00057923">
              <w:rPr>
                <w:rFonts w:ascii="Book Antiqua" w:eastAsia="Times New Roman" w:hAnsi="Book Antiqua" w:cs="Times New Roman"/>
                <w:b/>
                <w:color w:val="000000"/>
                <w:sz w:val="20"/>
                <w:lang w:eastAsia="sk-SK"/>
              </w:rPr>
              <w:t>Priemerný vek dožitia - priznaný dôchodok z I. pracovnej kategórie</w:t>
            </w:r>
          </w:p>
        </w:tc>
        <w:tc>
          <w:tcPr>
            <w:tcW w:w="918" w:type="pct"/>
            <w:tcBorders>
              <w:top w:val="single" w:sz="8" w:space="0" w:color="auto"/>
              <w:left w:val="nil"/>
              <w:bottom w:val="single" w:sz="8"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Times New Roman"/>
                <w:b/>
                <w:color w:val="000000"/>
                <w:sz w:val="20"/>
                <w:lang w:eastAsia="sk-SK"/>
              </w:rPr>
            </w:pPr>
            <w:r w:rsidRPr="00057923">
              <w:rPr>
                <w:rFonts w:ascii="Book Antiqua" w:eastAsia="Times New Roman" w:hAnsi="Book Antiqua" w:cs="Times New Roman"/>
                <w:b/>
                <w:color w:val="000000"/>
                <w:sz w:val="20"/>
                <w:lang w:eastAsia="sk-SK"/>
              </w:rPr>
              <w:t>Priemerný vek dožitia - priznaný dôchodok z II. pracovnej kategórie</w:t>
            </w:r>
          </w:p>
        </w:tc>
        <w:tc>
          <w:tcPr>
            <w:tcW w:w="918" w:type="pct"/>
            <w:tcBorders>
              <w:top w:val="single" w:sz="8" w:space="0" w:color="auto"/>
              <w:left w:val="nil"/>
              <w:bottom w:val="single" w:sz="8"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Times New Roman"/>
                <w:b/>
                <w:color w:val="000000"/>
                <w:sz w:val="20"/>
                <w:lang w:eastAsia="sk-SK"/>
              </w:rPr>
            </w:pPr>
            <w:r w:rsidRPr="00057923">
              <w:rPr>
                <w:rFonts w:ascii="Book Antiqua" w:eastAsia="Times New Roman" w:hAnsi="Book Antiqua" w:cs="Times New Roman"/>
                <w:b/>
                <w:color w:val="000000"/>
                <w:sz w:val="20"/>
                <w:lang w:eastAsia="sk-SK"/>
              </w:rPr>
              <w:t>Priemerný vek dožitia - priznaný dôchodok z III. pracovnej kategórie</w:t>
            </w:r>
          </w:p>
        </w:tc>
        <w:tc>
          <w:tcPr>
            <w:tcW w:w="706" w:type="pct"/>
            <w:tcBorders>
              <w:top w:val="single" w:sz="8" w:space="0" w:color="auto"/>
              <w:left w:val="nil"/>
              <w:bottom w:val="single" w:sz="8"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Times New Roman"/>
                <w:b/>
                <w:color w:val="000000"/>
                <w:sz w:val="20"/>
                <w:lang w:eastAsia="sk-SK"/>
              </w:rPr>
            </w:pPr>
            <w:r w:rsidRPr="00057923">
              <w:rPr>
                <w:rFonts w:ascii="Book Antiqua" w:eastAsia="Times New Roman" w:hAnsi="Book Antiqua" w:cs="Times New Roman"/>
                <w:b/>
                <w:color w:val="000000"/>
                <w:sz w:val="20"/>
                <w:lang w:eastAsia="sk-SK"/>
              </w:rPr>
              <w:t xml:space="preserve">Rozdiel </w:t>
            </w:r>
          </w:p>
          <w:p w:rsidR="00057923" w:rsidRPr="00057923" w:rsidRDefault="00057923" w:rsidP="00057923">
            <w:pPr>
              <w:spacing w:after="0" w:line="276" w:lineRule="auto"/>
              <w:jc w:val="center"/>
              <w:rPr>
                <w:rFonts w:ascii="Book Antiqua" w:eastAsia="Times New Roman" w:hAnsi="Book Antiqua" w:cs="Times New Roman"/>
                <w:b/>
                <w:color w:val="000000"/>
                <w:sz w:val="20"/>
                <w:lang w:eastAsia="sk-SK"/>
              </w:rPr>
            </w:pPr>
            <w:r w:rsidRPr="00057923">
              <w:rPr>
                <w:rFonts w:ascii="Book Antiqua" w:eastAsia="Times New Roman" w:hAnsi="Book Antiqua" w:cs="Times New Roman"/>
                <w:b/>
                <w:color w:val="000000"/>
                <w:sz w:val="20"/>
                <w:lang w:eastAsia="sk-SK"/>
              </w:rPr>
              <w:t xml:space="preserve">III. - I. </w:t>
            </w:r>
          </w:p>
          <w:p w:rsidR="00057923" w:rsidRPr="00057923" w:rsidRDefault="00057923" w:rsidP="00057923">
            <w:pPr>
              <w:spacing w:after="0" w:line="276" w:lineRule="auto"/>
              <w:jc w:val="center"/>
              <w:rPr>
                <w:rFonts w:ascii="Book Antiqua" w:eastAsia="Times New Roman" w:hAnsi="Book Antiqua" w:cs="Times New Roman"/>
                <w:b/>
                <w:color w:val="000000"/>
                <w:sz w:val="20"/>
                <w:lang w:eastAsia="sk-SK"/>
              </w:rPr>
            </w:pPr>
            <w:r w:rsidRPr="00057923">
              <w:rPr>
                <w:rFonts w:ascii="Book Antiqua" w:eastAsia="Times New Roman" w:hAnsi="Book Antiqua" w:cs="Times New Roman"/>
                <w:b/>
                <w:color w:val="000000"/>
                <w:sz w:val="20"/>
                <w:lang w:eastAsia="sk-SK"/>
              </w:rPr>
              <w:t>v rokoch</w:t>
            </w:r>
          </w:p>
        </w:tc>
        <w:tc>
          <w:tcPr>
            <w:tcW w:w="707" w:type="pct"/>
            <w:tcBorders>
              <w:top w:val="single" w:sz="8" w:space="0" w:color="auto"/>
              <w:left w:val="nil"/>
              <w:bottom w:val="single" w:sz="8" w:space="0" w:color="auto"/>
              <w:right w:val="single" w:sz="8" w:space="0" w:color="auto"/>
            </w:tcBorders>
            <w:vAlign w:val="center"/>
            <w:hideMark/>
          </w:tcPr>
          <w:p w:rsidR="00057923" w:rsidRPr="00057923" w:rsidRDefault="00057923" w:rsidP="00057923">
            <w:pPr>
              <w:spacing w:after="0" w:line="276" w:lineRule="auto"/>
              <w:jc w:val="center"/>
              <w:rPr>
                <w:rFonts w:ascii="Book Antiqua" w:eastAsia="Times New Roman" w:hAnsi="Book Antiqua" w:cs="Times New Roman"/>
                <w:b/>
                <w:color w:val="000000"/>
                <w:sz w:val="20"/>
                <w:lang w:eastAsia="sk-SK"/>
              </w:rPr>
            </w:pPr>
            <w:r w:rsidRPr="00057923">
              <w:rPr>
                <w:rFonts w:ascii="Book Antiqua" w:eastAsia="Times New Roman" w:hAnsi="Book Antiqua" w:cs="Times New Roman"/>
                <w:b/>
                <w:color w:val="000000"/>
                <w:sz w:val="20"/>
                <w:lang w:eastAsia="sk-SK"/>
              </w:rPr>
              <w:t xml:space="preserve">Rozdiel </w:t>
            </w:r>
          </w:p>
          <w:p w:rsidR="00057923" w:rsidRPr="00057923" w:rsidRDefault="00057923" w:rsidP="00057923">
            <w:pPr>
              <w:spacing w:after="0" w:line="276" w:lineRule="auto"/>
              <w:jc w:val="center"/>
              <w:rPr>
                <w:rFonts w:ascii="Book Antiqua" w:eastAsia="Times New Roman" w:hAnsi="Book Antiqua" w:cs="Times New Roman"/>
                <w:b/>
                <w:color w:val="000000"/>
                <w:sz w:val="20"/>
                <w:lang w:eastAsia="sk-SK"/>
              </w:rPr>
            </w:pPr>
            <w:r w:rsidRPr="00057923">
              <w:rPr>
                <w:rFonts w:ascii="Book Antiqua" w:eastAsia="Times New Roman" w:hAnsi="Book Antiqua" w:cs="Times New Roman"/>
                <w:b/>
                <w:color w:val="000000"/>
                <w:sz w:val="20"/>
                <w:lang w:eastAsia="sk-SK"/>
              </w:rPr>
              <w:t>III. - II.</w:t>
            </w:r>
          </w:p>
          <w:p w:rsidR="00057923" w:rsidRPr="00057923" w:rsidRDefault="00057923" w:rsidP="00057923">
            <w:pPr>
              <w:spacing w:after="0" w:line="276" w:lineRule="auto"/>
              <w:jc w:val="center"/>
              <w:rPr>
                <w:rFonts w:ascii="Book Antiqua" w:eastAsia="Times New Roman" w:hAnsi="Book Antiqua" w:cs="Times New Roman"/>
                <w:b/>
                <w:color w:val="000000"/>
                <w:sz w:val="20"/>
                <w:lang w:eastAsia="sk-SK"/>
              </w:rPr>
            </w:pPr>
            <w:r w:rsidRPr="00057923">
              <w:rPr>
                <w:rFonts w:ascii="Book Antiqua" w:eastAsia="Times New Roman" w:hAnsi="Book Antiqua" w:cs="Times New Roman"/>
                <w:b/>
                <w:color w:val="000000"/>
                <w:sz w:val="20"/>
                <w:lang w:eastAsia="sk-SK"/>
              </w:rPr>
              <w:t>v rokoch</w:t>
            </w:r>
          </w:p>
        </w:tc>
      </w:tr>
      <w:tr w:rsidR="00057923" w:rsidRPr="00057923" w:rsidTr="00A62543">
        <w:trPr>
          <w:trHeight w:val="300"/>
        </w:trPr>
        <w:tc>
          <w:tcPr>
            <w:tcW w:w="833" w:type="pct"/>
            <w:tcBorders>
              <w:top w:val="nil"/>
              <w:left w:val="single" w:sz="8" w:space="0" w:color="auto"/>
              <w:bottom w:val="single" w:sz="4"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Times New Roman"/>
                <w:b/>
                <w:color w:val="000000"/>
                <w:sz w:val="20"/>
                <w:lang w:eastAsia="sk-SK"/>
              </w:rPr>
            </w:pPr>
            <w:r w:rsidRPr="00057923">
              <w:rPr>
                <w:rFonts w:ascii="Book Antiqua" w:eastAsia="Times New Roman" w:hAnsi="Book Antiqua" w:cs="Times New Roman"/>
                <w:b/>
                <w:color w:val="000000"/>
                <w:sz w:val="20"/>
                <w:lang w:eastAsia="sk-SK"/>
              </w:rPr>
              <w:t>Muži</w:t>
            </w:r>
          </w:p>
        </w:tc>
        <w:tc>
          <w:tcPr>
            <w:tcW w:w="918"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Times New Roman"/>
                <w:color w:val="000000"/>
                <w:sz w:val="20"/>
                <w:lang w:eastAsia="sk-SK"/>
              </w:rPr>
            </w:pPr>
            <w:r w:rsidRPr="00057923">
              <w:rPr>
                <w:rFonts w:ascii="Book Antiqua" w:eastAsia="Times New Roman" w:hAnsi="Book Antiqua" w:cs="Times New Roman"/>
                <w:color w:val="000000"/>
                <w:sz w:val="20"/>
                <w:lang w:eastAsia="sk-SK"/>
              </w:rPr>
              <w:t>70,38</w:t>
            </w:r>
          </w:p>
        </w:tc>
        <w:tc>
          <w:tcPr>
            <w:tcW w:w="91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color w:val="000000"/>
                <w:sz w:val="20"/>
                <w:lang w:eastAsia="sk-SK"/>
              </w:rPr>
            </w:pPr>
            <w:r w:rsidRPr="00057923">
              <w:rPr>
                <w:rFonts w:ascii="Book Antiqua" w:eastAsia="Times New Roman" w:hAnsi="Book Antiqua" w:cs="Times New Roman"/>
                <w:color w:val="000000"/>
                <w:sz w:val="20"/>
                <w:lang w:eastAsia="sk-SK"/>
              </w:rPr>
              <w:t>71,97</w:t>
            </w:r>
          </w:p>
        </w:tc>
        <w:tc>
          <w:tcPr>
            <w:tcW w:w="918" w:type="pct"/>
            <w:tcBorders>
              <w:top w:val="nil"/>
              <w:left w:val="nil"/>
              <w:bottom w:val="single" w:sz="4"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color w:val="000000"/>
                <w:sz w:val="20"/>
                <w:lang w:eastAsia="sk-SK"/>
              </w:rPr>
            </w:pPr>
            <w:r w:rsidRPr="00057923">
              <w:rPr>
                <w:rFonts w:ascii="Book Antiqua" w:eastAsia="Times New Roman" w:hAnsi="Book Antiqua" w:cs="Times New Roman"/>
                <w:color w:val="000000"/>
                <w:sz w:val="20"/>
                <w:lang w:eastAsia="sk-SK"/>
              </w:rPr>
              <w:t>71,83</w:t>
            </w:r>
          </w:p>
        </w:tc>
        <w:tc>
          <w:tcPr>
            <w:tcW w:w="706"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Times New Roman"/>
                <w:color w:val="000000"/>
                <w:sz w:val="20"/>
                <w:lang w:eastAsia="sk-SK"/>
              </w:rPr>
            </w:pPr>
            <w:r w:rsidRPr="00057923">
              <w:rPr>
                <w:rFonts w:ascii="Book Antiqua" w:eastAsia="Times New Roman" w:hAnsi="Book Antiqua" w:cs="Times New Roman"/>
                <w:color w:val="000000"/>
                <w:sz w:val="20"/>
                <w:lang w:eastAsia="sk-SK"/>
              </w:rPr>
              <w:t>1,45</w:t>
            </w:r>
          </w:p>
        </w:tc>
        <w:tc>
          <w:tcPr>
            <w:tcW w:w="707" w:type="pct"/>
            <w:tcBorders>
              <w:top w:val="nil"/>
              <w:left w:val="nil"/>
              <w:bottom w:val="single" w:sz="4" w:space="0" w:color="auto"/>
              <w:right w:val="single" w:sz="4"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Times New Roman"/>
                <w:color w:val="000000"/>
                <w:sz w:val="20"/>
                <w:lang w:eastAsia="sk-SK"/>
              </w:rPr>
            </w:pPr>
            <w:r w:rsidRPr="00057923">
              <w:rPr>
                <w:rFonts w:ascii="Book Antiqua" w:eastAsia="Times New Roman" w:hAnsi="Book Antiqua" w:cs="Times New Roman"/>
                <w:color w:val="000000"/>
                <w:sz w:val="20"/>
                <w:lang w:eastAsia="sk-SK"/>
              </w:rPr>
              <w:t>-0,14</w:t>
            </w:r>
          </w:p>
        </w:tc>
      </w:tr>
      <w:tr w:rsidR="00057923" w:rsidRPr="00057923" w:rsidTr="00A62543">
        <w:trPr>
          <w:trHeight w:val="315"/>
        </w:trPr>
        <w:tc>
          <w:tcPr>
            <w:tcW w:w="833" w:type="pct"/>
            <w:tcBorders>
              <w:top w:val="nil"/>
              <w:left w:val="single" w:sz="8" w:space="0" w:color="auto"/>
              <w:bottom w:val="single" w:sz="8" w:space="0" w:color="auto"/>
              <w:right w:val="single" w:sz="4" w:space="0" w:color="auto"/>
            </w:tcBorders>
            <w:noWrap/>
            <w:vAlign w:val="bottom"/>
            <w:hideMark/>
          </w:tcPr>
          <w:p w:rsidR="00057923" w:rsidRPr="00057923" w:rsidRDefault="00057923" w:rsidP="00057923">
            <w:pPr>
              <w:spacing w:after="0" w:line="276" w:lineRule="auto"/>
              <w:rPr>
                <w:rFonts w:ascii="Book Antiqua" w:eastAsia="Times New Roman" w:hAnsi="Book Antiqua" w:cs="Times New Roman"/>
                <w:b/>
                <w:color w:val="000000"/>
                <w:sz w:val="20"/>
                <w:lang w:eastAsia="sk-SK"/>
              </w:rPr>
            </w:pPr>
            <w:r w:rsidRPr="00057923">
              <w:rPr>
                <w:rFonts w:ascii="Book Antiqua" w:eastAsia="Times New Roman" w:hAnsi="Book Antiqua" w:cs="Times New Roman"/>
                <w:b/>
                <w:color w:val="000000"/>
                <w:sz w:val="20"/>
                <w:lang w:eastAsia="sk-SK"/>
              </w:rPr>
              <w:t>Ženy</w:t>
            </w:r>
          </w:p>
        </w:tc>
        <w:tc>
          <w:tcPr>
            <w:tcW w:w="918" w:type="pct"/>
            <w:tcBorders>
              <w:top w:val="nil"/>
              <w:left w:val="nil"/>
              <w:bottom w:val="single" w:sz="8" w:space="0" w:color="auto"/>
              <w:right w:val="single" w:sz="4" w:space="0" w:color="auto"/>
            </w:tcBorders>
            <w:noWrap/>
            <w:vAlign w:val="center"/>
            <w:hideMark/>
          </w:tcPr>
          <w:p w:rsidR="00057923" w:rsidRPr="00057923" w:rsidRDefault="00057923" w:rsidP="00057923">
            <w:pPr>
              <w:spacing w:after="0" w:line="276" w:lineRule="auto"/>
              <w:jc w:val="center"/>
              <w:rPr>
                <w:rFonts w:ascii="Book Antiqua" w:eastAsia="Times New Roman" w:hAnsi="Book Antiqua" w:cs="Times New Roman"/>
                <w:color w:val="000000"/>
                <w:sz w:val="20"/>
                <w:lang w:eastAsia="sk-SK"/>
              </w:rPr>
            </w:pPr>
            <w:r w:rsidRPr="00057923">
              <w:rPr>
                <w:rFonts w:ascii="Book Antiqua" w:eastAsia="Times New Roman" w:hAnsi="Book Antiqua" w:cs="Times New Roman"/>
                <w:color w:val="000000"/>
                <w:sz w:val="20"/>
                <w:lang w:eastAsia="sk-SK"/>
              </w:rPr>
              <w:t>NA</w:t>
            </w:r>
          </w:p>
        </w:tc>
        <w:tc>
          <w:tcPr>
            <w:tcW w:w="918" w:type="pct"/>
            <w:tcBorders>
              <w:top w:val="nil"/>
              <w:left w:val="nil"/>
              <w:bottom w:val="single" w:sz="8"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Times New Roman"/>
                <w:color w:val="000000"/>
                <w:sz w:val="20"/>
                <w:lang w:eastAsia="sk-SK"/>
              </w:rPr>
            </w:pPr>
            <w:r w:rsidRPr="00057923">
              <w:rPr>
                <w:rFonts w:ascii="Book Antiqua" w:eastAsia="Times New Roman" w:hAnsi="Book Antiqua" w:cs="Times New Roman"/>
                <w:color w:val="000000"/>
                <w:sz w:val="20"/>
                <w:lang w:eastAsia="sk-SK"/>
              </w:rPr>
              <w:t>72,02</w:t>
            </w:r>
          </w:p>
        </w:tc>
        <w:tc>
          <w:tcPr>
            <w:tcW w:w="918" w:type="pct"/>
            <w:tcBorders>
              <w:top w:val="nil"/>
              <w:left w:val="nil"/>
              <w:bottom w:val="single" w:sz="8"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Times New Roman"/>
                <w:color w:val="000000"/>
                <w:sz w:val="20"/>
                <w:lang w:eastAsia="sk-SK"/>
              </w:rPr>
            </w:pPr>
            <w:r w:rsidRPr="00057923">
              <w:rPr>
                <w:rFonts w:ascii="Book Antiqua" w:eastAsia="Times New Roman" w:hAnsi="Book Antiqua" w:cs="Times New Roman"/>
                <w:color w:val="000000"/>
                <w:sz w:val="20"/>
                <w:lang w:eastAsia="sk-SK"/>
              </w:rPr>
              <w:t>72,04</w:t>
            </w:r>
          </w:p>
        </w:tc>
        <w:tc>
          <w:tcPr>
            <w:tcW w:w="706" w:type="pct"/>
            <w:tcBorders>
              <w:top w:val="nil"/>
              <w:left w:val="nil"/>
              <w:bottom w:val="single" w:sz="8" w:space="0" w:color="auto"/>
              <w:right w:val="single" w:sz="4"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Times New Roman"/>
                <w:color w:val="000000"/>
                <w:sz w:val="20"/>
                <w:lang w:eastAsia="sk-SK"/>
              </w:rPr>
            </w:pPr>
            <w:r w:rsidRPr="00057923">
              <w:rPr>
                <w:rFonts w:ascii="Book Antiqua" w:eastAsia="Times New Roman" w:hAnsi="Book Antiqua" w:cs="Times New Roman"/>
                <w:color w:val="000000"/>
                <w:sz w:val="20"/>
                <w:lang w:eastAsia="sk-SK"/>
              </w:rPr>
              <w:t>NA</w:t>
            </w:r>
          </w:p>
        </w:tc>
        <w:tc>
          <w:tcPr>
            <w:tcW w:w="707" w:type="pct"/>
            <w:tcBorders>
              <w:top w:val="nil"/>
              <w:left w:val="nil"/>
              <w:bottom w:val="single" w:sz="8" w:space="0" w:color="auto"/>
              <w:right w:val="single" w:sz="8" w:space="0" w:color="auto"/>
            </w:tcBorders>
            <w:noWrap/>
            <w:vAlign w:val="bottom"/>
            <w:hideMark/>
          </w:tcPr>
          <w:p w:rsidR="00057923" w:rsidRPr="00057923" w:rsidRDefault="00057923" w:rsidP="00057923">
            <w:pPr>
              <w:spacing w:after="0" w:line="276" w:lineRule="auto"/>
              <w:jc w:val="center"/>
              <w:rPr>
                <w:rFonts w:ascii="Book Antiqua" w:eastAsia="Times New Roman" w:hAnsi="Book Antiqua" w:cs="Times New Roman"/>
                <w:color w:val="000000"/>
                <w:sz w:val="20"/>
                <w:lang w:eastAsia="sk-SK"/>
              </w:rPr>
            </w:pPr>
            <w:r w:rsidRPr="00057923">
              <w:rPr>
                <w:rFonts w:ascii="Book Antiqua" w:eastAsia="Times New Roman" w:hAnsi="Book Antiqua" w:cs="Times New Roman"/>
                <w:color w:val="000000"/>
                <w:sz w:val="20"/>
                <w:lang w:eastAsia="sk-SK"/>
              </w:rPr>
              <w:t>0,02</w:t>
            </w:r>
          </w:p>
        </w:tc>
      </w:tr>
    </w:tbl>
    <w:p w:rsidR="00057923" w:rsidRPr="00057923" w:rsidRDefault="00057923" w:rsidP="00057923">
      <w:pPr>
        <w:spacing w:after="0" w:line="276" w:lineRule="auto"/>
        <w:jc w:val="both"/>
        <w:rPr>
          <w:rFonts w:ascii="Book Antiqua" w:eastAsia="Times New Roman" w:hAnsi="Book Antiqua" w:cs="Times New Roman"/>
          <w:i/>
          <w:sz w:val="20"/>
        </w:rPr>
      </w:pPr>
      <w:r w:rsidRPr="00057923">
        <w:rPr>
          <w:rFonts w:ascii="Book Antiqua" w:eastAsia="Times New Roman" w:hAnsi="Book Antiqua" w:cs="Times New Roman"/>
          <w:i/>
          <w:sz w:val="20"/>
        </w:rPr>
        <w:t>Zdroj: Sociálna poisťovňa</w:t>
      </w:r>
    </w:p>
    <w:p w:rsidR="00057923" w:rsidRPr="00057923" w:rsidRDefault="00057923" w:rsidP="00057923">
      <w:pPr>
        <w:spacing w:after="0" w:line="276" w:lineRule="auto"/>
        <w:ind w:firstLine="567"/>
        <w:jc w:val="both"/>
        <w:rPr>
          <w:rFonts w:ascii="Book Antiqua" w:eastAsia="Times New Roman" w:hAnsi="Book Antiqua" w:cs="Times New Roman"/>
          <w:szCs w:val="24"/>
        </w:rPr>
      </w:pPr>
    </w:p>
    <w:p w:rsidR="00057923" w:rsidRPr="00057923" w:rsidRDefault="00057923" w:rsidP="00057923">
      <w:pPr>
        <w:spacing w:after="0" w:line="276" w:lineRule="auto"/>
        <w:ind w:firstLine="567"/>
        <w:jc w:val="both"/>
        <w:rPr>
          <w:rFonts w:ascii="Book Antiqua" w:eastAsia="Times New Roman" w:hAnsi="Book Antiqua" w:cs="Times New Roman"/>
          <w:szCs w:val="24"/>
        </w:rPr>
      </w:pPr>
      <w:r w:rsidRPr="00057923">
        <w:rPr>
          <w:rFonts w:ascii="Book Antiqua" w:eastAsia="Times New Roman" w:hAnsi="Book Antiqua" w:cs="Times New Roman"/>
          <w:szCs w:val="24"/>
        </w:rPr>
        <w:t xml:space="preserve">Na základe tabuľky 24 môžeme vidieť nižšiu dĺžku života u mužov, ktorým bol priznaný dôchodok na základe I. pracovnej kategórie oproti mužom pracujúcim v II., resp. III. pracovnej kategórií až o jeden a pol roka. V prípade porovnania mužov, ktorým bol priznaný dôchodok na základe odpracovaných rokov v II., resp. III., pracovnej kategórií rozdiel nie je výrazný, dokonca môžeme vidieť, že sa viac dožívajú osoby, ktoré vykonávali prácu zaradenú do II. pracovnej kategórie. Keďže práce zaradené do I. pracovnej kategórie vykonávali vo veľkej miere muži nie je možné porovnávať dožitie žien, ktoré vykonávali práce zaradené do I. pracovnej kategórie so ženami, ktorým bol priznaný dôchodok na základe výkonu práce zaradenej do II., resp. III. pracovnej kategórie. Pri porovnaní dožitia žien, ktoré pracovali v II., resp. III. pracovnej kategórií nevzniká relevantný rozdiel. </w:t>
      </w:r>
    </w:p>
    <w:p w:rsidR="00057923" w:rsidRPr="00057923" w:rsidRDefault="00057923" w:rsidP="00057923">
      <w:pPr>
        <w:spacing w:after="0" w:line="276" w:lineRule="auto"/>
        <w:ind w:firstLine="567"/>
        <w:jc w:val="both"/>
        <w:rPr>
          <w:rFonts w:ascii="Book Antiqua" w:eastAsia="Times New Roman" w:hAnsi="Book Antiqua" w:cs="Times New Roman"/>
          <w:szCs w:val="24"/>
        </w:rPr>
      </w:pPr>
    </w:p>
    <w:p w:rsidR="00057923" w:rsidRPr="00057923" w:rsidRDefault="00057923" w:rsidP="00057923">
      <w:pPr>
        <w:spacing w:after="0" w:line="276" w:lineRule="auto"/>
        <w:ind w:firstLine="567"/>
        <w:jc w:val="both"/>
        <w:rPr>
          <w:rFonts w:ascii="Book Antiqua" w:eastAsia="Times New Roman" w:hAnsi="Book Antiqua" w:cs="Times New Roman"/>
          <w:szCs w:val="24"/>
        </w:rPr>
      </w:pPr>
      <w:r w:rsidRPr="00057923">
        <w:rPr>
          <w:rFonts w:ascii="Book Antiqua" w:eastAsia="Times New Roman" w:hAnsi="Book Antiqua" w:cs="Times New Roman"/>
          <w:szCs w:val="24"/>
        </w:rPr>
        <w:t xml:space="preserve">Z výsledkov uvedených v tabuľke 24 môžeme skonštatovať, že zníženie dôchodkového veku u osôb vykonávajúcich určité obdobie práce zaradené do I. pracovnej kategórie, </w:t>
      </w:r>
      <w:r w:rsidRPr="00057923">
        <w:rPr>
          <w:rFonts w:ascii="Book Antiqua" w:eastAsia="Times New Roman" w:hAnsi="Book Antiqua" w:cs="Times New Roman"/>
          <w:szCs w:val="24"/>
        </w:rPr>
        <w:lastRenderedPageBreak/>
        <w:t>v niektorých prípadoch až o 5 rokov, bolo vzhľadom na ich dĺžku dožitia príliš benevolentné</w:t>
      </w:r>
      <w:r w:rsidRPr="00057923">
        <w:rPr>
          <w:rFonts w:ascii="Book Antiqua" w:eastAsia="Times New Roman" w:hAnsi="Book Antiqua" w:cs="Times New Roman"/>
          <w:szCs w:val="24"/>
          <w:vertAlign w:val="superscript"/>
        </w:rPr>
        <w:footnoteReference w:id="28"/>
      </w:r>
      <w:r w:rsidRPr="00057923">
        <w:rPr>
          <w:rFonts w:ascii="Book Antiqua" w:eastAsia="Times New Roman" w:hAnsi="Book Antiqua" w:cs="Times New Roman"/>
          <w:szCs w:val="24"/>
        </w:rPr>
        <w:t xml:space="preserve">. Teda môžeme povedať, že </w:t>
      </w:r>
      <w:r w:rsidRPr="00057923">
        <w:rPr>
          <w:rFonts w:ascii="Book Antiqua" w:eastAsia="Times New Roman" w:hAnsi="Book Antiqua" w:cs="Times New Roman"/>
          <w:b/>
          <w:szCs w:val="24"/>
        </w:rPr>
        <w:t>osoby, ktorým bol dôchodok priznaný podľa I. pracovnej kategórie poberali dôchodok v priemere dlhšie ako osoby, ktorým bol priznaný dôchodok na základe II., resp. III. pracovnej kategórie</w:t>
      </w:r>
      <w:r w:rsidRPr="00057923">
        <w:rPr>
          <w:rFonts w:ascii="Book Antiqua" w:eastAsia="Times New Roman" w:hAnsi="Book Antiqua" w:cs="Times New Roman"/>
          <w:szCs w:val="24"/>
        </w:rPr>
        <w:t xml:space="preserve">. </w:t>
      </w:r>
      <w:r w:rsidRPr="00057923">
        <w:rPr>
          <w:rFonts w:ascii="Book Antiqua" w:eastAsia="Times New Roman" w:hAnsi="Book Antiqua" w:cs="Times New Roman"/>
        </w:rPr>
        <w:t xml:space="preserve">V súvislosti s uvedenými výsledkami je však potrebné podotknúť, že </w:t>
      </w:r>
      <w:r w:rsidRPr="00057923">
        <w:rPr>
          <w:rFonts w:ascii="Book Antiqua" w:eastAsia="Times New Roman" w:hAnsi="Book Antiqua" w:cs="Times New Roman"/>
          <w:b/>
        </w:rPr>
        <w:t>na vyvodenie komplexnejších záverov týkajúcich sa porovnania úmrtnosti osôb, ktorým bol priznaný dôchodok na základe I., II., resp. III. pracovnej kategórie, by sme potrebovali analyzovať dlhšie časové obdobie</w:t>
      </w:r>
      <w:r w:rsidRPr="00057923">
        <w:rPr>
          <w:rFonts w:ascii="Book Antiqua" w:eastAsia="Times New Roman" w:hAnsi="Book Antiqua" w:cs="Times New Roman"/>
        </w:rPr>
        <w:t xml:space="preserve">, nakoľko úmrtnostné pomery sa môžu v čase zmeniť a stále vidíme pomerne veľké percento (cca 65 %) žijúcich poberateľov dôchodkov priznaných v období 1988 – 2003. </w:t>
      </w:r>
      <w:r w:rsidRPr="00057923">
        <w:rPr>
          <w:rFonts w:ascii="Book Antiqua" w:eastAsia="Times New Roman" w:hAnsi="Book Antiqua" w:cs="Times New Roman"/>
          <w:b/>
        </w:rPr>
        <w:t xml:space="preserve">Z tohto dôvodu je potrebné predložené čísla interpretovať opatrne spolu so všetkými obmedzeniami, ktoré s nimi súvisia. </w:t>
      </w:r>
    </w:p>
    <w:p w:rsidR="00057923" w:rsidRPr="00057923" w:rsidRDefault="00057923" w:rsidP="00057923">
      <w:pPr>
        <w:spacing w:after="0" w:line="276" w:lineRule="auto"/>
        <w:jc w:val="both"/>
        <w:rPr>
          <w:rFonts w:ascii="Times New Roman" w:eastAsia="Times New Roman" w:hAnsi="Times New Roman" w:cs="Times New Roman"/>
          <w:i/>
          <w:sz w:val="24"/>
          <w:szCs w:val="24"/>
        </w:rPr>
      </w:pP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t xml:space="preserve">4.3 Možnosti úpravy DDS vzhľadom na </w:t>
      </w:r>
      <w:proofErr w:type="spellStart"/>
      <w:r w:rsidRPr="00057923">
        <w:rPr>
          <w:rFonts w:ascii="Book Antiqua" w:eastAsia="Times New Roman" w:hAnsi="Book Antiqua" w:cs="Times New Roman"/>
          <w:b/>
          <w:i/>
        </w:rPr>
        <w:t>rizikárov</w:t>
      </w:r>
      <w:proofErr w:type="spellEnd"/>
      <w:r w:rsidRPr="00057923">
        <w:rPr>
          <w:rFonts w:ascii="Book Antiqua" w:eastAsia="Times New Roman" w:hAnsi="Book Antiqua" w:cs="Times New Roman"/>
          <w:b/>
          <w:i/>
        </w:rPr>
        <w:t xml:space="preserve"> súvisiace s ich zabezpečením po skončení výkonu rizikových prác a úpravy podmienok vyplácania doplnkového výsluhového dôchodku</w:t>
      </w:r>
    </w:p>
    <w:p w:rsidR="00057923" w:rsidRPr="00057923" w:rsidRDefault="00057923" w:rsidP="00057923">
      <w:pPr>
        <w:numPr>
          <w:ilvl w:val="2"/>
          <w:numId w:val="33"/>
        </w:numPr>
        <w:spacing w:after="120" w:line="276" w:lineRule="auto"/>
        <w:ind w:left="567" w:hanging="567"/>
        <w:contextualSpacing/>
        <w:jc w:val="both"/>
        <w:rPr>
          <w:rFonts w:ascii="Book Antiqua" w:eastAsia="Times New Roman" w:hAnsi="Book Antiqua" w:cs="Times New Roman"/>
          <w:b/>
          <w:i/>
        </w:rPr>
      </w:pPr>
      <w:r w:rsidRPr="00057923">
        <w:rPr>
          <w:rFonts w:ascii="Book Antiqua" w:eastAsia="Times New Roman" w:hAnsi="Book Antiqua" w:cs="Times New Roman"/>
          <w:b/>
          <w:i/>
        </w:rPr>
        <w:t xml:space="preserve">Úpravy DDS, ktoré môžu mať výrazný vplyv na zabezpečenie </w:t>
      </w:r>
      <w:proofErr w:type="spellStart"/>
      <w:r w:rsidRPr="00057923">
        <w:rPr>
          <w:rFonts w:ascii="Book Antiqua" w:eastAsia="Times New Roman" w:hAnsi="Book Antiqua" w:cs="Times New Roman"/>
          <w:b/>
          <w:i/>
        </w:rPr>
        <w:t>rizikárov</w:t>
      </w:r>
      <w:proofErr w:type="spellEnd"/>
      <w:r w:rsidRPr="00057923">
        <w:rPr>
          <w:rFonts w:ascii="Book Antiqua" w:eastAsia="Times New Roman" w:hAnsi="Book Antiqua" w:cs="Times New Roman"/>
          <w:b/>
          <w:i/>
        </w:rPr>
        <w:t xml:space="preserve"> v starobe</w:t>
      </w:r>
    </w:p>
    <w:p w:rsidR="00057923" w:rsidRPr="00057923" w:rsidRDefault="00057923" w:rsidP="00057923">
      <w:pPr>
        <w:spacing w:after="12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Skutočnosť, že väčšina účastníkov si stále sporí na základe účastníckych zmlúv, ktorých súčasťou sú dávkové plány (umožňujúce flexibilné čerpanie úspor v III. pilieri vo forme jednorazových dávok, ako aj vo forme dočasných dôchodkov už v nižšom veku), ako aj  nízke nasporené sumy účastníkov, ktorých by sa zmena nastavenia podmienok vyplácania doplnkového výsluhového dôchodku mohla v najbližších rokoch dotknúť, poukazuje na </w:t>
      </w:r>
      <w:r w:rsidRPr="00057923">
        <w:rPr>
          <w:rFonts w:ascii="Book Antiqua" w:eastAsia="Times New Roman" w:hAnsi="Book Antiqua" w:cs="Times New Roman"/>
          <w:b/>
          <w:u w:val="single"/>
        </w:rPr>
        <w:t xml:space="preserve">potrebu zmien, ktoré z dlhodobého hľadiska môžu mať výraznejší vplyv na zabezpečenie </w:t>
      </w:r>
      <w:proofErr w:type="spellStart"/>
      <w:r w:rsidRPr="00057923">
        <w:rPr>
          <w:rFonts w:ascii="Book Antiqua" w:eastAsia="Times New Roman" w:hAnsi="Book Antiqua" w:cs="Times New Roman"/>
          <w:b/>
          <w:u w:val="single"/>
        </w:rPr>
        <w:t>rizikárov</w:t>
      </w:r>
      <w:proofErr w:type="spellEnd"/>
      <w:r w:rsidRPr="00057923">
        <w:rPr>
          <w:rFonts w:ascii="Book Antiqua" w:eastAsia="Times New Roman" w:hAnsi="Book Antiqua" w:cs="Times New Roman"/>
          <w:b/>
          <w:u w:val="single"/>
        </w:rPr>
        <w:t xml:space="preserve"> v starobe ako zmeny v podmienkach vyplácania doplnkového výsluhového dôchodku</w:t>
      </w:r>
      <w:r w:rsidRPr="00057923">
        <w:rPr>
          <w:rFonts w:ascii="Book Antiqua" w:eastAsia="Times New Roman" w:hAnsi="Book Antiqua" w:cs="Times New Roman"/>
        </w:rPr>
        <w:t>. Navyše aktuálna situácia čo sa týka dostupných dát a dát, na ktoré MPSVR SR má aktuálne nárok sťažuje možnosti analyzovania danej problematiky.</w:t>
      </w:r>
    </w:p>
    <w:p w:rsidR="00057923" w:rsidRPr="00057923" w:rsidRDefault="00057923" w:rsidP="00057923">
      <w:pPr>
        <w:numPr>
          <w:ilvl w:val="0"/>
          <w:numId w:val="20"/>
        </w:numPr>
        <w:spacing w:after="0" w:line="276" w:lineRule="auto"/>
        <w:contextualSpacing/>
        <w:jc w:val="both"/>
        <w:rPr>
          <w:rFonts w:ascii="Book Antiqua" w:eastAsia="Times New Roman" w:hAnsi="Book Antiqua" w:cs="Times New Roman"/>
          <w:b/>
        </w:rPr>
      </w:pPr>
      <w:r w:rsidRPr="00057923">
        <w:rPr>
          <w:rFonts w:ascii="Book Antiqua" w:eastAsia="Times New Roman" w:hAnsi="Book Antiqua" w:cs="Times New Roman"/>
          <w:b/>
          <w:u w:val="single"/>
        </w:rPr>
        <w:t xml:space="preserve">Motivovať účastníkov III. piliera k uzatvoreniu dodatku k účastníckej zmluve – </w:t>
      </w:r>
      <w:proofErr w:type="spellStart"/>
      <w:r w:rsidRPr="00057923">
        <w:rPr>
          <w:rFonts w:ascii="Book Antiqua" w:eastAsia="Times New Roman" w:hAnsi="Book Antiqua" w:cs="Times New Roman"/>
          <w:b/>
          <w:u w:val="single"/>
        </w:rPr>
        <w:t>t.j</w:t>
      </w:r>
      <w:proofErr w:type="spellEnd"/>
      <w:r w:rsidRPr="00057923">
        <w:rPr>
          <w:rFonts w:ascii="Book Antiqua" w:eastAsia="Times New Roman" w:hAnsi="Book Antiqua" w:cs="Times New Roman"/>
          <w:b/>
          <w:u w:val="single"/>
        </w:rPr>
        <w:t>. zvážiť daňové prípadne iné stimuly, ktoré by motivovali účastníkov vzdať sa možnosti poberať dávky upravené v ich dávkových plánoch.</w:t>
      </w:r>
      <w:r w:rsidRPr="00057923">
        <w:rPr>
          <w:rFonts w:ascii="Book Antiqua" w:eastAsia="Times New Roman" w:hAnsi="Book Antiqua" w:cs="Times New Roman"/>
          <w:b/>
        </w:rPr>
        <w:t xml:space="preserve">  </w:t>
      </w:r>
    </w:p>
    <w:p w:rsidR="00057923" w:rsidRPr="00057923" w:rsidRDefault="00057923" w:rsidP="00057923">
      <w:pPr>
        <w:spacing w:after="0" w:line="276" w:lineRule="auto"/>
        <w:ind w:left="720" w:firstLine="696"/>
        <w:jc w:val="both"/>
        <w:rPr>
          <w:rFonts w:ascii="Book Antiqua" w:eastAsia="Times New Roman" w:hAnsi="Book Antiqua" w:cs="Times New Roman"/>
        </w:rPr>
      </w:pPr>
      <w:r w:rsidRPr="00057923">
        <w:rPr>
          <w:rFonts w:ascii="Book Antiqua" w:eastAsia="Times New Roman" w:hAnsi="Book Antiqua" w:cs="Times New Roman"/>
          <w:u w:val="single"/>
        </w:rPr>
        <w:t>Pre zabezpečenie účastníka</w:t>
      </w:r>
      <w:r w:rsidRPr="00057923">
        <w:rPr>
          <w:rFonts w:ascii="Book Antiqua" w:eastAsia="Times New Roman" w:hAnsi="Book Antiqua" w:cs="Times New Roman"/>
        </w:rPr>
        <w:t xml:space="preserve"> v starobe a po skončení výkonu rizikových prác by mal prechod na účastnícke zmluvy bez dávkového plánu veľký význam z dôvodu, že by mohol použiť finančné prostriedky, ktoré sú tvorené z príspevkov zamestnávateľa, naozaj až v čase, keď po skončení výkonu rizikových prác bude potrebovať čerpať úspory z DDS. Prechodom na účastnícke zmluvy bez dávkového plánu by sa značne obmedzila možnosť jednorazových výberov a zvýšila by sa šanca pokryť výdavky súvisiace s ukončením výkonu rizikových prác. </w:t>
      </w:r>
    </w:p>
    <w:p w:rsidR="00057923" w:rsidRPr="00057923" w:rsidRDefault="00057923" w:rsidP="00057923">
      <w:pPr>
        <w:spacing w:after="0" w:line="276" w:lineRule="auto"/>
        <w:ind w:left="720" w:firstLine="696"/>
        <w:jc w:val="both"/>
        <w:rPr>
          <w:rFonts w:ascii="Book Antiqua" w:eastAsia="Times New Roman" w:hAnsi="Book Antiqua" w:cs="Times New Roman"/>
        </w:rPr>
      </w:pPr>
    </w:p>
    <w:p w:rsidR="00057923" w:rsidRPr="00057923" w:rsidRDefault="00057923" w:rsidP="00057923">
      <w:pPr>
        <w:spacing w:after="120" w:line="276" w:lineRule="auto"/>
        <w:ind w:left="720" w:firstLine="696"/>
        <w:contextualSpacing/>
        <w:jc w:val="both"/>
        <w:rPr>
          <w:rFonts w:ascii="Book Antiqua" w:eastAsia="Times New Roman" w:hAnsi="Book Antiqua" w:cs="Times New Roman"/>
        </w:rPr>
      </w:pPr>
      <w:r w:rsidRPr="00057923">
        <w:rPr>
          <w:rFonts w:ascii="Book Antiqua" w:eastAsia="Times New Roman" w:hAnsi="Book Antiqua" w:cs="Times New Roman"/>
          <w:u w:val="single"/>
        </w:rPr>
        <w:t>Pre doplnkové dôchodkové spoločnosti</w:t>
      </w:r>
      <w:r w:rsidRPr="00057923">
        <w:rPr>
          <w:rFonts w:ascii="Book Antiqua" w:eastAsia="Times New Roman" w:hAnsi="Book Antiqua" w:cs="Times New Roman"/>
        </w:rPr>
        <w:t xml:space="preserve"> by bol prechod účastníkov na zmluvy bez dávkového plánu významnou zmenou, kedy by mohli investovať aj do aktív, u ktorých treba uvažovať s </w:t>
      </w:r>
      <w:proofErr w:type="spellStart"/>
      <w:r w:rsidRPr="00057923">
        <w:rPr>
          <w:rFonts w:ascii="Book Antiqua" w:eastAsia="Times New Roman" w:hAnsi="Book Antiqua" w:cs="Times New Roman"/>
        </w:rPr>
        <w:t>dlhodobejším</w:t>
      </w:r>
      <w:proofErr w:type="spellEnd"/>
      <w:r w:rsidRPr="00057923">
        <w:rPr>
          <w:rFonts w:ascii="Book Antiqua" w:eastAsia="Times New Roman" w:hAnsi="Book Antiqua" w:cs="Times New Roman"/>
        </w:rPr>
        <w:t xml:space="preserve"> investičným horizontom, čo je v súčasnej </w:t>
      </w:r>
      <w:r w:rsidRPr="00057923">
        <w:rPr>
          <w:rFonts w:ascii="Book Antiqua" w:eastAsia="Times New Roman" w:hAnsi="Book Antiqua" w:cs="Times New Roman"/>
        </w:rPr>
        <w:lastRenderedPageBreak/>
        <w:t xml:space="preserve">dobe v zásade nemožné. Dnes je totiž viac ako 80 % majetku účastníkov alokovaných na zmluvy s dávkovým plánom, pri ktorých je potrebné počítať s okamžitou výplatou veľkej časti prostriedkov a teda s potrebou okamžitej likvidity. </w:t>
      </w:r>
    </w:p>
    <w:p w:rsidR="00057923" w:rsidRPr="00057923" w:rsidRDefault="00057923" w:rsidP="00057923">
      <w:pPr>
        <w:spacing w:after="120" w:line="276" w:lineRule="auto"/>
        <w:ind w:left="720" w:firstLine="696"/>
        <w:contextualSpacing/>
        <w:jc w:val="both"/>
        <w:rPr>
          <w:rFonts w:ascii="Book Antiqua" w:eastAsia="Times New Roman" w:hAnsi="Book Antiqua" w:cs="Times New Roman"/>
        </w:rPr>
      </w:pPr>
    </w:p>
    <w:p w:rsidR="00057923" w:rsidRPr="00057923" w:rsidRDefault="00057923" w:rsidP="00057923">
      <w:pPr>
        <w:spacing w:after="120" w:line="276" w:lineRule="auto"/>
        <w:ind w:left="720" w:firstLine="696"/>
        <w:contextualSpacing/>
        <w:jc w:val="both"/>
        <w:rPr>
          <w:rFonts w:ascii="Book Antiqua" w:eastAsia="Times New Roman" w:hAnsi="Book Antiqua" w:cs="Times New Roman"/>
        </w:rPr>
      </w:pPr>
      <w:r w:rsidRPr="00057923">
        <w:rPr>
          <w:rFonts w:ascii="Book Antiqua" w:eastAsia="Times New Roman" w:hAnsi="Book Antiqua" w:cs="Times New Roman"/>
          <w:b/>
        </w:rPr>
        <w:t xml:space="preserve">V súvislosti s uvedeným treba pripomenúť, že účastníci bez dodatočných stimulov nebudú v budúcnosti motivovaní prestupovať na zmluvy bez dávkových plánov a vzdať sa tak benevolentnejších pravidiel výplatnej fázy. </w:t>
      </w:r>
      <w:r w:rsidRPr="00057923">
        <w:rPr>
          <w:rFonts w:ascii="Book Antiqua" w:eastAsia="Times New Roman" w:hAnsi="Book Antiqua" w:cs="Times New Roman"/>
        </w:rPr>
        <w:t xml:space="preserve">Pre ilustráciu uvádzame príklad možnosti ako motivovať osoby prestúpiť na zmluvy bez dávkových plánov – zvýšenie daňovej úľavy. Dopad zvýšenia daňovej úľavy na rozpočet verejnej správy bude závisieť od výšky daňovej úľavy (dnes nezdaniteľná časť základu dane 180 eur ročne) a od potenciálneho nárastu počtu ľudí, ktorí uzatvoria nové zmluvy o DDS. Pri zdvojnásobení nezdaniteľnej časti základu dane na 360 eur ročne </w:t>
      </w:r>
      <w:proofErr w:type="spellStart"/>
      <w:r w:rsidRPr="00057923">
        <w:rPr>
          <w:rFonts w:ascii="Book Antiqua" w:eastAsia="Times New Roman" w:hAnsi="Book Antiqua" w:cs="Times New Roman"/>
        </w:rPr>
        <w:t>ceteris</w:t>
      </w:r>
      <w:proofErr w:type="spellEnd"/>
      <w:r w:rsidRPr="00057923">
        <w:rPr>
          <w:rFonts w:ascii="Book Antiqua" w:eastAsia="Times New Roman" w:hAnsi="Book Antiqua" w:cs="Times New Roman"/>
        </w:rPr>
        <w:t xml:space="preserve"> </w:t>
      </w:r>
      <w:proofErr w:type="spellStart"/>
      <w:r w:rsidRPr="00057923">
        <w:rPr>
          <w:rFonts w:ascii="Book Antiqua" w:eastAsia="Times New Roman" w:hAnsi="Book Antiqua" w:cs="Times New Roman"/>
        </w:rPr>
        <w:t>paribus</w:t>
      </w:r>
      <w:proofErr w:type="spellEnd"/>
      <w:r w:rsidRPr="00057923">
        <w:rPr>
          <w:rFonts w:ascii="Book Antiqua" w:eastAsia="Times New Roman" w:hAnsi="Book Antiqua" w:cs="Times New Roman"/>
        </w:rPr>
        <w:t xml:space="preserve"> by náklady (výpadok príjmov štátneho rozpočtu) v roku 2019 vzrástli o cca 7 mil. eur. Z dôvodu zatraktívnenia sporenia by sme však mohli predpokladať rýchlejší nárast osôb na nových zmluvách, čo by v prípade 2-násobne rýchlejšieho nárastu účastníkov na zmluvách bez dávkového plánu oproti aktuálnej situácii zvýšilo náklady v roku 2019 o cca 14 mil. eur. Samozrejme existujú aj iné možnosti zvýhodňovania účastníkov bez dávkových plánov, ktoré pravdepodobne budú efektívnejšie napĺňať cieľ motivácie prechodu na zmluvy bez dávkových plánov. Ide napríklad o štátny príspevok na DDS, pri ktorom kvantifikácia dopadov na rozpočet verejnej správy závisí od konkrétneho modelu prispievania. Problematikou daňového zvýhodnenia príspevkov sa MPSVR SR zaoberá priebežne a spolu s inými možnosťami zvýhodňovania doplnkového sporenia na dôchodok ju bude analyzovať aj v rámci úloh vyplývajúcich z Revízie výdavkov na politiky trhu práce a sociálne politiky</w:t>
      </w:r>
      <w:r w:rsidRPr="00057923">
        <w:rPr>
          <w:rFonts w:ascii="Book Antiqua" w:eastAsia="Times New Roman" w:hAnsi="Book Antiqua" w:cs="Times New Roman"/>
          <w:vertAlign w:val="superscript"/>
        </w:rPr>
        <w:footnoteReference w:id="29"/>
      </w:r>
      <w:r w:rsidRPr="00057923">
        <w:rPr>
          <w:rFonts w:ascii="Book Antiqua" w:eastAsia="Times New Roman" w:hAnsi="Book Antiqua" w:cs="Times New Roman"/>
        </w:rPr>
        <w:t>.</w:t>
      </w:r>
    </w:p>
    <w:p w:rsidR="00057923" w:rsidRPr="00057923" w:rsidRDefault="00057923" w:rsidP="00057923">
      <w:pPr>
        <w:spacing w:after="120" w:line="276" w:lineRule="auto"/>
        <w:ind w:left="720"/>
        <w:contextualSpacing/>
        <w:jc w:val="both"/>
        <w:rPr>
          <w:rFonts w:ascii="Book Antiqua" w:eastAsia="Times New Roman" w:hAnsi="Book Antiqua" w:cs="Times New Roman"/>
        </w:rPr>
      </w:pPr>
    </w:p>
    <w:p w:rsidR="00057923" w:rsidRPr="00057923" w:rsidRDefault="00057923" w:rsidP="00057923">
      <w:pPr>
        <w:numPr>
          <w:ilvl w:val="0"/>
          <w:numId w:val="20"/>
        </w:numPr>
        <w:spacing w:after="120" w:line="276" w:lineRule="auto"/>
        <w:contextualSpacing/>
        <w:jc w:val="both"/>
        <w:rPr>
          <w:rFonts w:ascii="Book Antiqua" w:eastAsia="Times New Roman" w:hAnsi="Book Antiqua" w:cs="Times New Roman"/>
          <w:u w:val="single"/>
        </w:rPr>
      </w:pPr>
      <w:r w:rsidRPr="00057923">
        <w:rPr>
          <w:rFonts w:ascii="Book Antiqua" w:eastAsia="Times New Roman" w:hAnsi="Book Antiqua" w:cs="Times New Roman"/>
          <w:b/>
          <w:u w:val="single"/>
        </w:rPr>
        <w:t xml:space="preserve">Zabezpečiť zvyšovanie nasporených súm účastníkov s dôrazom na </w:t>
      </w:r>
      <w:proofErr w:type="spellStart"/>
      <w:r w:rsidRPr="00057923">
        <w:rPr>
          <w:rFonts w:ascii="Book Antiqua" w:eastAsia="Times New Roman" w:hAnsi="Book Antiqua" w:cs="Times New Roman"/>
          <w:b/>
          <w:u w:val="single"/>
        </w:rPr>
        <w:t>rizikárov</w:t>
      </w:r>
      <w:proofErr w:type="spellEnd"/>
      <w:r w:rsidRPr="00057923">
        <w:rPr>
          <w:rFonts w:ascii="Book Antiqua" w:eastAsia="Times New Roman" w:hAnsi="Book Antiqua" w:cs="Times New Roman"/>
          <w:b/>
          <w:u w:val="single"/>
        </w:rPr>
        <w:t>.</w:t>
      </w:r>
    </w:p>
    <w:p w:rsidR="00057923" w:rsidRPr="00057923" w:rsidRDefault="00057923" w:rsidP="00057923">
      <w:pPr>
        <w:numPr>
          <w:ilvl w:val="0"/>
          <w:numId w:val="39"/>
        </w:numPr>
        <w:spacing w:after="120" w:line="276" w:lineRule="auto"/>
        <w:contextualSpacing/>
        <w:jc w:val="both"/>
        <w:rPr>
          <w:rFonts w:ascii="Book Antiqua" w:eastAsia="Times New Roman" w:hAnsi="Book Antiqua" w:cs="Times New Roman"/>
        </w:rPr>
      </w:pPr>
      <w:r w:rsidRPr="00057923">
        <w:rPr>
          <w:rFonts w:ascii="Book Antiqua" w:eastAsia="Times New Roman" w:hAnsi="Book Antiqua" w:cs="Times New Roman"/>
          <w:b/>
          <w:u w:val="single"/>
        </w:rPr>
        <w:t xml:space="preserve"> Motivovať zamestnávateľov k plateniu príspevkov za svojich zamestnancov vo vyššej miere a tým vo vyššej miere zvyšovať nasporené sumy účastníkov, resp. upraviť percentuálnu výšku príspevku z vymeriavacieho základu, ktorú musí zamestnávateľ platiť za </w:t>
      </w:r>
      <w:proofErr w:type="spellStart"/>
      <w:r w:rsidRPr="00057923">
        <w:rPr>
          <w:rFonts w:ascii="Book Antiqua" w:eastAsia="Times New Roman" w:hAnsi="Book Antiqua" w:cs="Times New Roman"/>
          <w:b/>
          <w:u w:val="single"/>
        </w:rPr>
        <w:t>rizikárov</w:t>
      </w:r>
      <w:proofErr w:type="spellEnd"/>
      <w:r w:rsidRPr="00057923">
        <w:rPr>
          <w:rFonts w:ascii="Book Antiqua" w:eastAsia="Times New Roman" w:hAnsi="Book Antiqua" w:cs="Times New Roman"/>
          <w:b/>
          <w:u w:val="single"/>
        </w:rPr>
        <w:t>.</w:t>
      </w:r>
      <w:r w:rsidRPr="00057923">
        <w:rPr>
          <w:rFonts w:ascii="Book Antiqua" w:eastAsia="Times New Roman" w:hAnsi="Book Antiqua" w:cs="Times New Roman"/>
        </w:rPr>
        <w:t xml:space="preserve"> V súčasnej dobe len cca 20 % zamestnávateľov platí za svojich zamestnancov –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príspevok vyšší ako 2 % </w:t>
      </w:r>
      <w:r w:rsidRPr="00057923">
        <w:rPr>
          <w:rFonts w:ascii="Book Antiqua" w:eastAsia="Times New Roman" w:hAnsi="Book Antiqua" w:cs="Times New Roman"/>
          <w:vertAlign w:val="superscript"/>
        </w:rPr>
        <w:footnoteReference w:id="30"/>
      </w:r>
      <w:r w:rsidRPr="00057923">
        <w:rPr>
          <w:rFonts w:ascii="Book Antiqua" w:eastAsia="Times New Roman" w:hAnsi="Book Antiqua" w:cs="Times New Roman"/>
        </w:rPr>
        <w:t xml:space="preserve"> napriek tomu, že podľa zákona o dani z príjmov sú daňovými výdavkami aj príspevky, ktoré platí zamestnávateľ za zamestnanca na DDS a na doplnkové dôchodkové sporenie v zahraničí rovnakého alebo porovnateľného druhu; tieto príspevky možno uznať v úhrne najviac vo výške 6 % zo zúčtovanej mzdy, náhrady mzdy a odmeny zamestnanca, ktorý je účastníkom DDS. Ako môžeme vidieť v časti 4.2.2. v súčasnej dobe ako ani v budúcnosti nie je možné uvažovať nad zmysluplným doplnkovým výsluhovým dôchodkom z III. piliera, ktorý by mohol vykryť stratu príjmu na 5 rokov, ak by sa príspevky platili vo výške 2 % z vymeriavacieho základu zamestnanca kratšie ako </w:t>
      </w:r>
      <w:r w:rsidRPr="00057923">
        <w:rPr>
          <w:rFonts w:ascii="Book Antiqua" w:eastAsia="Times New Roman" w:hAnsi="Book Antiqua" w:cs="Times New Roman"/>
        </w:rPr>
        <w:lastRenderedPageBreak/>
        <w:t xml:space="preserve">25 rokov. Uvedené nás vedie k úvahe o možnostiach navýšenia povinných príspevkov zamestnávateľov za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w:t>
      </w:r>
    </w:p>
    <w:p w:rsidR="00057923" w:rsidRPr="00057923" w:rsidRDefault="00057923" w:rsidP="00057923">
      <w:pPr>
        <w:spacing w:after="120" w:line="276" w:lineRule="auto"/>
        <w:ind w:left="2187"/>
        <w:contextualSpacing/>
        <w:jc w:val="both"/>
        <w:rPr>
          <w:rFonts w:ascii="Book Antiqua" w:eastAsia="Times New Roman" w:hAnsi="Book Antiqua" w:cs="Times New Roman"/>
        </w:rPr>
      </w:pPr>
      <w:r w:rsidRPr="00057923">
        <w:rPr>
          <w:rFonts w:ascii="Book Antiqua" w:eastAsia="Times New Roman" w:hAnsi="Book Antiqua" w:cs="Times New Roman"/>
        </w:rPr>
        <w:t xml:space="preserve">V prípade povinného navýšenia príspevkov zamestnávateľa za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by sme mohli uvažovať aj nad istou spoluúčasťou zamestnancov. Náklady spojené s uvedeným opatrením by sa mohli rovnomerne rozdeliť medzi zamestnanca a zamestnávateľa, a to na dobrovoľnej báze. Zamestnávateľ by tak bol povinný prispievať zamestnancovi 2 % z vymeriavacieho základu v prípade ak si zamestnanec sám neprispieva, ak by si však prispieval zamestnanec dobrovoľne aj sám, zamestnávateľ by mu bol povinný navýšiť príspevok o sumu jeho príspevkov až do výšky 3 %. V prípade, že by zamestnávateľ bol povinný platiť príspevky vo výške 3 % z vymeriavacieho základu predpokladáme, že by išlo v roku 2019 o navýšenie priamych finančných nákladov pre zamestnávateľov vo výške niekoľkých miliónov eur</w:t>
      </w:r>
      <w:r w:rsidRPr="00057923">
        <w:rPr>
          <w:rFonts w:ascii="Book Antiqua" w:eastAsia="Times New Roman" w:hAnsi="Book Antiqua" w:cs="Times New Roman"/>
          <w:vertAlign w:val="superscript"/>
        </w:rPr>
        <w:footnoteReference w:id="31"/>
      </w:r>
      <w:r w:rsidRPr="00057923">
        <w:rPr>
          <w:rFonts w:ascii="Book Antiqua" w:eastAsia="Times New Roman" w:hAnsi="Book Antiqua" w:cs="Times New Roman"/>
        </w:rPr>
        <w:t>.</w:t>
      </w:r>
    </w:p>
    <w:p w:rsidR="00057923" w:rsidRPr="00057923" w:rsidRDefault="00057923" w:rsidP="00057923">
      <w:pPr>
        <w:numPr>
          <w:ilvl w:val="0"/>
          <w:numId w:val="39"/>
        </w:numPr>
        <w:spacing w:after="120" w:line="276" w:lineRule="auto"/>
        <w:contextualSpacing/>
        <w:jc w:val="both"/>
        <w:rPr>
          <w:rFonts w:ascii="Book Antiqua" w:eastAsia="Times New Roman" w:hAnsi="Book Antiqua" w:cs="Times New Roman"/>
        </w:rPr>
      </w:pPr>
      <w:r w:rsidRPr="00057923">
        <w:rPr>
          <w:rFonts w:ascii="Book Antiqua" w:eastAsia="Times New Roman" w:hAnsi="Book Antiqua" w:cs="Times New Roman"/>
        </w:rPr>
        <w:t xml:space="preserve">Keďže sa v prípade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jedná o povinné príspevky do III. piliera, ďalšou možnosťou ako navýšiť nasporené sumy účastníkov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je </w:t>
      </w:r>
      <w:r w:rsidRPr="00057923">
        <w:rPr>
          <w:rFonts w:ascii="Book Antiqua" w:eastAsia="Times New Roman" w:hAnsi="Book Antiqua" w:cs="Times New Roman"/>
          <w:b/>
          <w:u w:val="single"/>
        </w:rPr>
        <w:t>zrušiť odvody platené zamestnávateľom aj zamestnancom na zdravotné poistenie z príspevku zamestnávateľa a zároveň zrušiť platenie dane z príspevku zamestnávateľa</w:t>
      </w:r>
      <w:r w:rsidRPr="00057923">
        <w:rPr>
          <w:rFonts w:ascii="Book Antiqua" w:eastAsia="Times New Roman" w:hAnsi="Book Antiqua" w:cs="Times New Roman"/>
        </w:rPr>
        <w:t xml:space="preserve">. Ušetrená suma by mohla byť použitá na navýšenie príspevkov na DDS za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či už na dobrovoľnej báze alebo povinne (</w:t>
      </w:r>
      <w:proofErr w:type="spellStart"/>
      <w:r w:rsidRPr="00057923">
        <w:rPr>
          <w:rFonts w:ascii="Book Antiqua" w:eastAsia="Times New Roman" w:hAnsi="Book Antiqua" w:cs="Times New Roman"/>
        </w:rPr>
        <w:t>t.j</w:t>
      </w:r>
      <w:proofErr w:type="spellEnd"/>
      <w:r w:rsidRPr="00057923">
        <w:rPr>
          <w:rFonts w:ascii="Book Antiqua" w:eastAsia="Times New Roman" w:hAnsi="Book Antiqua" w:cs="Times New Roman"/>
        </w:rPr>
        <w:t xml:space="preserve">. zamestnávateľ by mal povinnosť platiť 2,2 % z vymeriavacieho základu </w:t>
      </w:r>
      <w:proofErr w:type="spellStart"/>
      <w:r w:rsidRPr="00057923">
        <w:rPr>
          <w:rFonts w:ascii="Book Antiqua" w:eastAsia="Times New Roman" w:hAnsi="Book Antiqua" w:cs="Times New Roman"/>
        </w:rPr>
        <w:t>rizikára</w:t>
      </w:r>
      <w:proofErr w:type="spellEnd"/>
      <w:r w:rsidRPr="00057923">
        <w:rPr>
          <w:rFonts w:ascii="Book Antiqua" w:eastAsia="Times New Roman" w:hAnsi="Book Antiqua" w:cs="Times New Roman"/>
        </w:rPr>
        <w:t xml:space="preserve"> a zároveň zamestnanec by mal povinnosť prispievať si do III. piliera to čo ušetrí na dani a zdravotných odvodoch z príspevku zamestnávateľa, </w:t>
      </w:r>
      <w:proofErr w:type="spellStart"/>
      <w:r w:rsidRPr="00057923">
        <w:rPr>
          <w:rFonts w:ascii="Book Antiqua" w:eastAsia="Times New Roman" w:hAnsi="Book Antiqua" w:cs="Times New Roman"/>
        </w:rPr>
        <w:t>t.j</w:t>
      </w:r>
      <w:proofErr w:type="spellEnd"/>
      <w:r w:rsidRPr="00057923">
        <w:rPr>
          <w:rFonts w:ascii="Book Antiqua" w:eastAsia="Times New Roman" w:hAnsi="Book Antiqua" w:cs="Times New Roman"/>
        </w:rPr>
        <w:t xml:space="preserve">. cca 0,5% z vymeriavacieho základu). V prípade zavedenia takejto alternatívy by v roku 2019 išlo o výpadok príjmov verejnej správy približne vo výške cca 5,2 mil. eur. Zamestnávateľ by bol v takomto prípade oslobodený od platenia zdravotných odvodov vo výške 10 % z príspevku plateného za </w:t>
      </w:r>
      <w:proofErr w:type="spellStart"/>
      <w:r w:rsidRPr="00057923">
        <w:rPr>
          <w:rFonts w:ascii="Book Antiqua" w:eastAsia="Times New Roman" w:hAnsi="Book Antiqua" w:cs="Times New Roman"/>
        </w:rPr>
        <w:t>rizikára</w:t>
      </w:r>
      <w:proofErr w:type="spellEnd"/>
      <w:r w:rsidRPr="00057923">
        <w:rPr>
          <w:rFonts w:ascii="Book Antiqua" w:eastAsia="Times New Roman" w:hAnsi="Book Antiqua" w:cs="Times New Roman"/>
        </w:rPr>
        <w:t xml:space="preserve"> – </w:t>
      </w:r>
      <w:proofErr w:type="spellStart"/>
      <w:r w:rsidRPr="00057923">
        <w:rPr>
          <w:rFonts w:ascii="Book Antiqua" w:eastAsia="Times New Roman" w:hAnsi="Book Antiqua" w:cs="Times New Roman"/>
        </w:rPr>
        <w:t>t.j</w:t>
      </w:r>
      <w:proofErr w:type="spellEnd"/>
      <w:r w:rsidRPr="00057923">
        <w:rPr>
          <w:rFonts w:ascii="Book Antiqua" w:eastAsia="Times New Roman" w:hAnsi="Book Antiqua" w:cs="Times New Roman"/>
        </w:rPr>
        <w:t xml:space="preserve">. cca 1,6 mil. eur. Zamestnanec by bol oslobodený od platenia zdravotných odvodov vo výške 4 % z príspevkov zamestnávateľa - </w:t>
      </w:r>
      <w:proofErr w:type="spellStart"/>
      <w:r w:rsidRPr="00057923">
        <w:rPr>
          <w:rFonts w:ascii="Book Antiqua" w:eastAsia="Times New Roman" w:hAnsi="Book Antiqua" w:cs="Times New Roman"/>
        </w:rPr>
        <w:t>t.j</w:t>
      </w:r>
      <w:proofErr w:type="spellEnd"/>
      <w:r w:rsidRPr="00057923">
        <w:rPr>
          <w:rFonts w:ascii="Book Antiqua" w:eastAsia="Times New Roman" w:hAnsi="Book Antiqua" w:cs="Times New Roman"/>
        </w:rPr>
        <w:t xml:space="preserve">. cca 0,6 mil. eur a taktiež od platenia dane z príjmu vo výške približne 19% z príspevkov zamestnávateľa, </w:t>
      </w:r>
      <w:proofErr w:type="spellStart"/>
      <w:r w:rsidRPr="00057923">
        <w:rPr>
          <w:rFonts w:ascii="Book Antiqua" w:eastAsia="Times New Roman" w:hAnsi="Book Antiqua" w:cs="Times New Roman"/>
        </w:rPr>
        <w:t>t.j</w:t>
      </w:r>
      <w:proofErr w:type="spellEnd"/>
      <w:r w:rsidRPr="00057923">
        <w:rPr>
          <w:rFonts w:ascii="Book Antiqua" w:eastAsia="Times New Roman" w:hAnsi="Book Antiqua" w:cs="Times New Roman"/>
        </w:rPr>
        <w:t>. cca 3,0 mil. eur.</w:t>
      </w:r>
    </w:p>
    <w:p w:rsidR="00057923" w:rsidRPr="00057923" w:rsidRDefault="00057923" w:rsidP="00057923">
      <w:pPr>
        <w:spacing w:after="120" w:line="276" w:lineRule="auto"/>
        <w:ind w:left="2187"/>
        <w:contextualSpacing/>
        <w:jc w:val="both"/>
        <w:rPr>
          <w:rFonts w:ascii="Book Antiqua" w:eastAsia="Times New Roman" w:hAnsi="Book Antiqua" w:cs="Times New Roman"/>
        </w:rPr>
      </w:pPr>
    </w:p>
    <w:p w:rsidR="00057923" w:rsidRPr="00057923" w:rsidRDefault="00057923" w:rsidP="00057923">
      <w:pPr>
        <w:spacing w:after="200" w:line="276" w:lineRule="auto"/>
        <w:ind w:left="720"/>
        <w:contextualSpacing/>
        <w:rPr>
          <w:rFonts w:ascii="Book Antiqua" w:eastAsia="Times New Roman" w:hAnsi="Book Antiqua" w:cs="Times New Roman"/>
          <w:u w:val="single"/>
        </w:rPr>
      </w:pPr>
    </w:p>
    <w:p w:rsidR="00057923" w:rsidRPr="00057923" w:rsidRDefault="00057923" w:rsidP="00057923">
      <w:pPr>
        <w:numPr>
          <w:ilvl w:val="0"/>
          <w:numId w:val="20"/>
        </w:numPr>
        <w:spacing w:after="120" w:line="276" w:lineRule="auto"/>
        <w:contextualSpacing/>
        <w:jc w:val="both"/>
        <w:rPr>
          <w:rFonts w:ascii="Book Antiqua" w:eastAsia="Times New Roman" w:hAnsi="Book Antiqua" w:cs="Times New Roman"/>
          <w:u w:val="single"/>
        </w:rPr>
      </w:pPr>
      <w:r w:rsidRPr="00057923">
        <w:rPr>
          <w:rFonts w:ascii="Book Antiqua" w:eastAsia="Times New Roman" w:hAnsi="Book Antiqua" w:cs="Times New Roman"/>
          <w:b/>
          <w:u w:val="single"/>
        </w:rPr>
        <w:t xml:space="preserve">Zaviesť automatický vznik statusu účastníka pre </w:t>
      </w:r>
      <w:proofErr w:type="spellStart"/>
      <w:r w:rsidRPr="00057923">
        <w:rPr>
          <w:rFonts w:ascii="Book Antiqua" w:eastAsia="Times New Roman" w:hAnsi="Book Antiqua" w:cs="Times New Roman"/>
          <w:b/>
          <w:u w:val="single"/>
        </w:rPr>
        <w:t>rizikára</w:t>
      </w:r>
      <w:proofErr w:type="spellEnd"/>
      <w:r w:rsidRPr="00057923">
        <w:rPr>
          <w:rFonts w:ascii="Book Antiqua" w:eastAsia="Times New Roman" w:hAnsi="Book Antiqua" w:cs="Times New Roman"/>
          <w:b/>
          <w:u w:val="single"/>
        </w:rPr>
        <w:t>.</w:t>
      </w:r>
      <w:r w:rsidRPr="00057923">
        <w:rPr>
          <w:rFonts w:ascii="Book Antiqua" w:eastAsia="Times New Roman" w:hAnsi="Book Antiqua" w:cs="Times New Roman"/>
        </w:rPr>
        <w:t xml:space="preserve"> </w:t>
      </w:r>
    </w:p>
    <w:p w:rsidR="00057923" w:rsidRPr="00057923" w:rsidRDefault="00057923" w:rsidP="00057923">
      <w:pPr>
        <w:spacing w:after="120" w:line="276" w:lineRule="auto"/>
        <w:ind w:left="720" w:firstLine="696"/>
        <w:contextualSpacing/>
        <w:jc w:val="both"/>
        <w:rPr>
          <w:rFonts w:ascii="Book Antiqua" w:eastAsia="Times New Roman" w:hAnsi="Book Antiqua" w:cs="Times New Roman"/>
        </w:rPr>
      </w:pPr>
      <w:r w:rsidRPr="00057923">
        <w:rPr>
          <w:rFonts w:ascii="Book Antiqua" w:eastAsia="Times New Roman" w:hAnsi="Book Antiqua" w:cs="Times New Roman"/>
        </w:rPr>
        <w:t xml:space="preserve">Poznatky z aplikačnej praxe poukazujú na prípady odmietania uzatvorenia účastníckej zmluvy zo strany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Následkom takéhoto konania zo strany </w:t>
      </w:r>
      <w:proofErr w:type="spellStart"/>
      <w:r w:rsidRPr="00057923">
        <w:rPr>
          <w:rFonts w:ascii="Book Antiqua" w:eastAsia="Times New Roman" w:hAnsi="Book Antiqua" w:cs="Times New Roman"/>
        </w:rPr>
        <w:t>rizikára</w:t>
      </w:r>
      <w:proofErr w:type="spellEnd"/>
      <w:r w:rsidRPr="00057923">
        <w:rPr>
          <w:rFonts w:ascii="Book Antiqua" w:eastAsia="Times New Roman" w:hAnsi="Book Antiqua" w:cs="Times New Roman"/>
        </w:rPr>
        <w:t xml:space="preserve"> je nesplnenie jednej z podmienok vzniku povinnosti zamestnávateľa platiť </w:t>
      </w:r>
      <w:r w:rsidRPr="00057923">
        <w:rPr>
          <w:rFonts w:ascii="Book Antiqua" w:eastAsia="Times New Roman" w:hAnsi="Book Antiqua" w:cs="Times New Roman"/>
        </w:rPr>
        <w:lastRenderedPageBreak/>
        <w:t xml:space="preserve">príspevky. S cieľom predísť uvedeným problémom, by uzatvorenie účastníckej zmluvy nemalo byť podmienkou vzniku povinnosti zamestnávateľa platiť príspevky za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w:t>
      </w:r>
      <w:proofErr w:type="spellStart"/>
      <w:r w:rsidRPr="00057923">
        <w:rPr>
          <w:rFonts w:ascii="Book Antiqua" w:eastAsia="Times New Roman" w:hAnsi="Book Antiqua" w:cs="Times New Roman"/>
        </w:rPr>
        <w:t>Rizikárovi</w:t>
      </w:r>
      <w:proofErr w:type="spellEnd"/>
      <w:r w:rsidRPr="00057923">
        <w:rPr>
          <w:rFonts w:ascii="Book Antiqua" w:eastAsia="Times New Roman" w:hAnsi="Book Antiqua" w:cs="Times New Roman"/>
        </w:rPr>
        <w:t xml:space="preserve">, ktorý by neuzatvoril účastnícku zmluvu v lehote podľa zákona o DDS, by doplnkovú dôchodkovú spoločnosť určil zamestnávateľ s tým, že o tejto skutočnosti by </w:t>
      </w:r>
      <w:proofErr w:type="spellStart"/>
      <w:r w:rsidRPr="00057923">
        <w:rPr>
          <w:rFonts w:ascii="Book Antiqua" w:eastAsia="Times New Roman" w:hAnsi="Book Antiqua" w:cs="Times New Roman"/>
        </w:rPr>
        <w:t>rizikára</w:t>
      </w:r>
      <w:proofErr w:type="spellEnd"/>
      <w:r w:rsidRPr="00057923">
        <w:rPr>
          <w:rFonts w:ascii="Book Antiqua" w:eastAsia="Times New Roman" w:hAnsi="Book Antiqua" w:cs="Times New Roman"/>
        </w:rPr>
        <w:t xml:space="preserve"> informovala samotná doplnková dôchodková spoločnosť. Predpokladáme, že v prípade zavedenia takéhoto opatrenia by sa zvýšilo pokrytie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za ktorých by zamestnávatelia prispievali na DDS.</w:t>
      </w:r>
    </w:p>
    <w:p w:rsidR="00057923" w:rsidRPr="00057923" w:rsidRDefault="00057923" w:rsidP="00057923">
      <w:pPr>
        <w:spacing w:after="200" w:line="276" w:lineRule="auto"/>
        <w:ind w:left="720"/>
        <w:contextualSpacing/>
        <w:rPr>
          <w:rFonts w:ascii="Book Antiqua" w:eastAsia="Times New Roman" w:hAnsi="Book Antiqua" w:cs="Times New Roman"/>
        </w:rPr>
      </w:pPr>
    </w:p>
    <w:p w:rsidR="00057923" w:rsidRPr="00057923" w:rsidRDefault="00057923" w:rsidP="00057923">
      <w:pPr>
        <w:numPr>
          <w:ilvl w:val="0"/>
          <w:numId w:val="20"/>
        </w:numPr>
        <w:spacing w:after="240" w:line="276" w:lineRule="auto"/>
        <w:ind w:left="714" w:hanging="357"/>
        <w:contextualSpacing/>
        <w:jc w:val="both"/>
        <w:rPr>
          <w:rFonts w:ascii="Book Antiqua" w:eastAsia="Times New Roman" w:hAnsi="Book Antiqua" w:cs="Times New Roman"/>
        </w:rPr>
      </w:pPr>
      <w:r w:rsidRPr="00057923">
        <w:rPr>
          <w:rFonts w:ascii="Book Antiqua" w:eastAsia="Times New Roman" w:hAnsi="Book Antiqua" w:cs="Times New Roman"/>
          <w:b/>
          <w:u w:val="single"/>
        </w:rPr>
        <w:t>Zvyšovať nasporené sumy účastníkov správnou alokáciou nasporených prostriedkov do jednotlivých fondov a motivovať správcov vytvárať fondy, ktoré budú pre účastníkov dlhodobo výhodné.</w:t>
      </w:r>
      <w:r w:rsidRPr="00057923">
        <w:rPr>
          <w:rFonts w:ascii="Book Antiqua" w:eastAsia="Times New Roman" w:hAnsi="Book Antiqua" w:cs="Times New Roman"/>
        </w:rPr>
        <w:t xml:space="preserve"> </w:t>
      </w:r>
    </w:p>
    <w:p w:rsidR="00057923" w:rsidRPr="00057923" w:rsidRDefault="00057923" w:rsidP="00057923">
      <w:pPr>
        <w:spacing w:after="240" w:line="276" w:lineRule="auto"/>
        <w:ind w:left="714" w:firstLine="702"/>
        <w:contextualSpacing/>
        <w:jc w:val="both"/>
        <w:rPr>
          <w:rFonts w:ascii="Book Antiqua" w:eastAsia="Times New Roman" w:hAnsi="Book Antiqua" w:cs="Times New Roman"/>
        </w:rPr>
      </w:pPr>
      <w:r w:rsidRPr="00057923">
        <w:rPr>
          <w:rFonts w:ascii="Book Antiqua" w:eastAsia="Times New Roman" w:hAnsi="Book Antiqua" w:cs="Times New Roman"/>
        </w:rPr>
        <w:t xml:space="preserve">V III. pilieri absentujú indexové fondy, ktoré v dlhodobom horizonte dosahujú najvyššiu výnosnosť. Aj na uvedené potreby reaguje revízia výdavkov na politiky trhu práce a sociálne politiky, ktorá navrhuje niekoľko opatrení, ktoré sa prejavia úsporou, resp. zvýšením hodnoty za peniaze z verejných financií. Z týchto opatrení sa III. piliera priamo týka jedna z analytických úloh </w:t>
      </w:r>
      <w:r w:rsidRPr="00057923">
        <w:rPr>
          <w:rFonts w:ascii="Book Antiqua" w:eastAsia="Times New Roman" w:hAnsi="Book Antiqua" w:cs="Times New Roman"/>
          <w:u w:val="single"/>
        </w:rPr>
        <w:t>„Analýza opatrení podporujúcich efektívnejšie rozloženie úspor medzi triedami aktív v II. a III. pilieri dôchodkového sporenia.“.</w:t>
      </w:r>
      <w:r w:rsidRPr="00057923">
        <w:rPr>
          <w:rFonts w:ascii="Book Antiqua" w:eastAsia="Times New Roman" w:hAnsi="Book Antiqua" w:cs="Times New Roman"/>
        </w:rPr>
        <w:t xml:space="preserve">  Na základe výsledkov uvedenej analýzy sa prijmú rozhodnutia o realizácii opatrení, zameraných na zvyšovanie hodnoty nasporených súm účastníkov v III. pilieri, napríklad: </w:t>
      </w:r>
      <w:r w:rsidRPr="00057923">
        <w:rPr>
          <w:rFonts w:ascii="Book Antiqua" w:eastAsia="Times New Roman" w:hAnsi="Book Antiqua" w:cs="Times New Roman"/>
          <w:u w:val="single"/>
        </w:rPr>
        <w:t>„Zavedenie indexového fondu v III. pilieri dôchodkového sporenia.“</w:t>
      </w:r>
      <w:r w:rsidRPr="00057923">
        <w:rPr>
          <w:rFonts w:ascii="Book Antiqua" w:eastAsia="Times New Roman" w:hAnsi="Book Antiqua" w:cs="Times New Roman"/>
        </w:rPr>
        <w:t xml:space="preserve">, </w:t>
      </w:r>
      <w:r w:rsidRPr="00057923">
        <w:rPr>
          <w:rFonts w:ascii="Book Antiqua" w:eastAsia="Times New Roman" w:hAnsi="Book Antiqua" w:cs="Times New Roman"/>
          <w:u w:val="single"/>
        </w:rPr>
        <w:t>„Zvýšiť atraktívnosť dobrovoľného dôchodkového sporenia prostredníctvom mixu politík, vrátane posilnenia konkurencie.“</w:t>
      </w:r>
      <w:r w:rsidRPr="00057923">
        <w:rPr>
          <w:rFonts w:ascii="Book Antiqua" w:eastAsia="Times New Roman" w:hAnsi="Book Antiqua" w:cs="Times New Roman"/>
        </w:rPr>
        <w:t xml:space="preserve">, </w:t>
      </w:r>
      <w:r w:rsidRPr="00057923">
        <w:rPr>
          <w:rFonts w:ascii="Book Antiqua" w:eastAsia="Times New Roman" w:hAnsi="Book Antiqua" w:cs="Times New Roman"/>
          <w:u w:val="single"/>
        </w:rPr>
        <w:t>„Úprava odplát sprostredkovateľom, ktorá by výraznejšie motivovala sprostredkovateľov poskytovať klientom II. a III. piliera presnejšie a adekvátnejšie odporúčania.“</w:t>
      </w:r>
      <w:r w:rsidRPr="00057923">
        <w:rPr>
          <w:rFonts w:ascii="Book Antiqua" w:eastAsia="Times New Roman" w:hAnsi="Book Antiqua" w:cs="Times New Roman"/>
        </w:rPr>
        <w:t xml:space="preserve">, </w:t>
      </w:r>
      <w:r w:rsidRPr="00057923">
        <w:rPr>
          <w:rFonts w:ascii="Book Antiqua" w:eastAsia="Times New Roman" w:hAnsi="Book Antiqua" w:cs="Times New Roman"/>
          <w:u w:val="single"/>
        </w:rPr>
        <w:t>„Zlepšenie informovanosti II. a III. piliera o výnosoch, výnosoch v iných fondoch, rozloženia úspor vo fondoch, porovnanie so zahraničnými fondmi.“</w:t>
      </w:r>
      <w:r w:rsidRPr="00057923">
        <w:rPr>
          <w:rFonts w:ascii="Book Antiqua" w:eastAsia="Times New Roman" w:hAnsi="Book Antiqua" w:cs="Times New Roman"/>
        </w:rPr>
        <w:t xml:space="preserve"> a </w:t>
      </w:r>
      <w:r w:rsidRPr="00057923">
        <w:rPr>
          <w:rFonts w:ascii="Book Antiqua" w:eastAsia="Times New Roman" w:hAnsi="Book Antiqua" w:cs="Times New Roman"/>
          <w:u w:val="single"/>
        </w:rPr>
        <w:t>„Zmena prerozdelenia odplaty správcom dôchodkových účtov s presunom k vyššiemu podielu odplaty naviazanej na výkon jednotlivých fondov.“</w:t>
      </w:r>
      <w:r w:rsidRPr="00057923">
        <w:rPr>
          <w:rFonts w:ascii="Book Antiqua" w:eastAsia="Times New Roman" w:hAnsi="Book Antiqua" w:cs="Times New Roman"/>
        </w:rPr>
        <w:t xml:space="preserve"> Na základe výsledkov analýzy a následnej vhodnej aplikácie uvedených opatrení do praxe by sa malo dosiahnuť efektívnejšie zvyšovanie nasporených súm účastníkov v III. pilieri.</w:t>
      </w:r>
    </w:p>
    <w:p w:rsidR="00057923" w:rsidRPr="00057923" w:rsidRDefault="00057923" w:rsidP="00057923">
      <w:pPr>
        <w:spacing w:after="240" w:line="276" w:lineRule="auto"/>
        <w:ind w:left="714"/>
        <w:contextualSpacing/>
        <w:jc w:val="both"/>
        <w:rPr>
          <w:rFonts w:ascii="Book Antiqua" w:eastAsia="Times New Roman" w:hAnsi="Book Antiqua" w:cs="Times New Roman"/>
        </w:rPr>
      </w:pPr>
    </w:p>
    <w:p w:rsidR="00057923" w:rsidRPr="00057923" w:rsidRDefault="00057923" w:rsidP="00057923">
      <w:pPr>
        <w:numPr>
          <w:ilvl w:val="0"/>
          <w:numId w:val="20"/>
        </w:numPr>
        <w:spacing w:after="0" w:line="276" w:lineRule="auto"/>
        <w:contextualSpacing/>
        <w:jc w:val="both"/>
        <w:rPr>
          <w:rFonts w:ascii="Book Antiqua" w:eastAsia="Times New Roman" w:hAnsi="Book Antiqua" w:cs="Times New Roman"/>
        </w:rPr>
      </w:pPr>
      <w:r w:rsidRPr="00057923">
        <w:rPr>
          <w:rFonts w:ascii="Book Antiqua" w:eastAsia="Times New Roman" w:hAnsi="Book Antiqua" w:cs="Times New Roman"/>
          <w:b/>
          <w:u w:val="single"/>
        </w:rPr>
        <w:t>Vytvoriť databázu zamestnancov, ktorí v danom mesiaci vykonávali rizikovú prácu</w:t>
      </w:r>
      <w:r w:rsidRPr="00057923">
        <w:rPr>
          <w:rFonts w:ascii="Book Antiqua" w:eastAsia="Times New Roman" w:hAnsi="Book Antiqua" w:cs="Times New Roman"/>
          <w:b/>
        </w:rPr>
        <w:t>.</w:t>
      </w:r>
      <w:r w:rsidRPr="00057923">
        <w:rPr>
          <w:rFonts w:ascii="Book Antiqua" w:eastAsia="Times New Roman" w:hAnsi="Book Antiqua" w:cs="Times New Roman"/>
        </w:rPr>
        <w:t xml:space="preserve"> </w:t>
      </w:r>
    </w:p>
    <w:p w:rsidR="00057923" w:rsidRPr="00057923" w:rsidRDefault="00057923" w:rsidP="00057923">
      <w:pPr>
        <w:spacing w:after="0" w:line="276" w:lineRule="auto"/>
        <w:ind w:left="720" w:firstLine="696"/>
        <w:jc w:val="both"/>
        <w:rPr>
          <w:rFonts w:ascii="Book Antiqua" w:eastAsia="Times New Roman" w:hAnsi="Book Antiqua" w:cs="Times New Roman"/>
        </w:rPr>
      </w:pPr>
      <w:r w:rsidRPr="00057923">
        <w:rPr>
          <w:rFonts w:ascii="Book Antiqua" w:eastAsia="Times New Roman" w:hAnsi="Book Antiqua" w:cs="Times New Roman"/>
        </w:rPr>
        <w:t xml:space="preserve">Uvedené by umožnilo Národnému inšpektorátu práce efektívnejšiu kontrolu dodržiavania povinností týkajúcich sa zamestnávateľov, ktorí zamestnávajú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ako aj prehľad o nadobudnutom období výkonu rizikovej práce u všetkých poistencov. Z dlhodobého hľadiska by bolo možné sledovať osobitne úmrtnosť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a odlišnosti od úmrtnosti celkovej populácie na Slovensku, ale aj či tieto osoby častejšie využívajú krátkodobé dávky ako dávku v nezamestnanosti alebo nemocenské. Uvedené by umožnilo vytvárať kvalitnejšie analýzy a vyvodzovať kvalifikovanejšie závery a opatrenia. Jednou z možností, ako by sa dala táto databáza vytvoriť, by bolo zavedenie povinnosti zamestnávateľa informovať Sociálnu poisťovňu o výkone rizikových prác zamestnanca v danom mesiaci v rámci výkazu poistného a príspevkov na starobné dôchodkové sporenie za príslušný kalendárny mesiac. Teoreticky by bolo možné uvažovať aj o zavedení  výberu zamestnávateľových </w:t>
      </w:r>
      <w:r w:rsidRPr="00057923">
        <w:rPr>
          <w:rFonts w:ascii="Book Antiqua" w:eastAsia="Times New Roman" w:hAnsi="Book Antiqua" w:cs="Times New Roman"/>
        </w:rPr>
        <w:lastRenderedPageBreak/>
        <w:t>príspevkov do III. piliera Sociálnou poisťovňou. Tieto opatrenia by však boli nevyhnutne spojené s rozsiahlejšími zmenami v zákone o sociálnom poistení a zákone o DDS, a zároveň by si takáto zmena vyžiadala samostatnú analýzu.</w:t>
      </w:r>
    </w:p>
    <w:p w:rsidR="00057923" w:rsidRPr="00057923" w:rsidRDefault="00057923" w:rsidP="00057923">
      <w:pPr>
        <w:spacing w:after="200" w:line="276" w:lineRule="auto"/>
        <w:ind w:left="720"/>
        <w:contextualSpacing/>
        <w:rPr>
          <w:rFonts w:ascii="Book Antiqua" w:eastAsia="Times New Roman" w:hAnsi="Book Antiqua" w:cs="Times New Roman"/>
        </w:rPr>
      </w:pPr>
    </w:p>
    <w:p w:rsidR="00057923" w:rsidRPr="00057923" w:rsidRDefault="00057923" w:rsidP="00057923">
      <w:pPr>
        <w:numPr>
          <w:ilvl w:val="2"/>
          <w:numId w:val="33"/>
        </w:numPr>
        <w:spacing w:after="120" w:line="276" w:lineRule="auto"/>
        <w:ind w:left="426" w:hanging="426"/>
        <w:contextualSpacing/>
        <w:jc w:val="both"/>
        <w:rPr>
          <w:rFonts w:ascii="Book Antiqua" w:eastAsia="Times New Roman" w:hAnsi="Book Antiqua" w:cs="Times New Roman"/>
          <w:b/>
          <w:i/>
        </w:rPr>
      </w:pPr>
      <w:r w:rsidRPr="00057923">
        <w:rPr>
          <w:rFonts w:ascii="Book Antiqua" w:eastAsia="Times New Roman" w:hAnsi="Book Antiqua" w:cs="Times New Roman"/>
          <w:b/>
          <w:i/>
        </w:rPr>
        <w:t>Odporúčania týkajúce sa úpravy podmienok vyplácania doplnkového výsluhového dôchodku</w:t>
      </w:r>
    </w:p>
    <w:p w:rsidR="00057923" w:rsidRPr="00057923" w:rsidRDefault="00057923" w:rsidP="00057923">
      <w:pPr>
        <w:spacing w:after="120" w:line="276" w:lineRule="auto"/>
        <w:ind w:firstLine="567"/>
        <w:jc w:val="both"/>
        <w:rPr>
          <w:rFonts w:ascii="Book Antiqua" w:eastAsia="Times New Roman" w:hAnsi="Book Antiqua" w:cs="Times New Roman"/>
        </w:rPr>
      </w:pPr>
      <w:r w:rsidRPr="00057923">
        <w:rPr>
          <w:rFonts w:ascii="Book Antiqua" w:eastAsia="Times New Roman" w:hAnsi="Book Antiqua" w:cs="Times New Roman"/>
        </w:rPr>
        <w:t xml:space="preserve">V rámci úpravy podmienok vyplácania doplnkového výsluhového dôchodku je možné uvažovať o zmenách v nasledovných parametroch: </w:t>
      </w:r>
    </w:p>
    <w:p w:rsidR="00057923" w:rsidRPr="00057923" w:rsidRDefault="00057923" w:rsidP="00057923">
      <w:pPr>
        <w:spacing w:after="120" w:line="276" w:lineRule="auto"/>
        <w:ind w:left="720"/>
        <w:contextualSpacing/>
        <w:jc w:val="both"/>
        <w:rPr>
          <w:rFonts w:ascii="Book Antiqua" w:eastAsia="Times New Roman" w:hAnsi="Book Antiqua" w:cs="Times New Roman"/>
        </w:rPr>
      </w:pPr>
    </w:p>
    <w:p w:rsidR="00057923" w:rsidRPr="00057923" w:rsidRDefault="00057923" w:rsidP="00057923">
      <w:pPr>
        <w:numPr>
          <w:ilvl w:val="0"/>
          <w:numId w:val="41"/>
        </w:numPr>
        <w:spacing w:after="120" w:line="276" w:lineRule="auto"/>
        <w:contextualSpacing/>
        <w:jc w:val="both"/>
        <w:rPr>
          <w:rFonts w:ascii="Book Antiqua" w:eastAsia="Times New Roman" w:hAnsi="Book Antiqua" w:cs="Times New Roman"/>
          <w:b/>
        </w:rPr>
      </w:pPr>
      <w:r w:rsidRPr="00057923">
        <w:rPr>
          <w:rFonts w:ascii="Book Antiqua" w:eastAsia="Times New Roman" w:hAnsi="Book Antiqua" w:cs="Times New Roman"/>
          <w:b/>
        </w:rPr>
        <w:t>Zmeniť vek, v ktorom je možné začať čerpať doplnkový výsluhový dôchodok</w:t>
      </w:r>
    </w:p>
    <w:p w:rsidR="00057923" w:rsidRPr="00057923" w:rsidRDefault="00057923" w:rsidP="00057923">
      <w:pPr>
        <w:spacing w:after="0" w:line="276" w:lineRule="auto"/>
        <w:ind w:left="720" w:firstLine="696"/>
        <w:jc w:val="both"/>
        <w:rPr>
          <w:rFonts w:ascii="Book Antiqua" w:eastAsia="Times New Roman" w:hAnsi="Book Antiqua" w:cs="Times New Roman"/>
        </w:rPr>
      </w:pPr>
      <w:r w:rsidRPr="00057923">
        <w:rPr>
          <w:rFonts w:ascii="Book Antiqua" w:eastAsia="Times New Roman" w:hAnsi="Book Antiqua" w:cs="Times New Roman"/>
        </w:rPr>
        <w:t xml:space="preserve">Ako vyplynulo z časti 4.2.5, na základe úmrtnosti osôb vykonávajúcich práce zaradené do I., resp. II. pracovnej kategórie nepredpokladáme signifikantne vyššiu úmrtnosť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oproti  iným osobám na základe čoho </w:t>
      </w:r>
      <w:r w:rsidRPr="00057923">
        <w:rPr>
          <w:rFonts w:ascii="Book Antiqua" w:eastAsia="Times New Roman" w:hAnsi="Book Antiqua" w:cs="Times New Roman"/>
          <w:b/>
        </w:rPr>
        <w:t>znižovanie veku 55 rokov na nárok na doplnkový výsluhový dôchodok neodporúčame</w:t>
      </w:r>
      <w:r w:rsidRPr="00057923">
        <w:rPr>
          <w:rFonts w:ascii="Book Antiqua" w:eastAsia="Times New Roman" w:hAnsi="Book Antiqua" w:cs="Times New Roman"/>
        </w:rPr>
        <w:t xml:space="preserve">. </w:t>
      </w:r>
    </w:p>
    <w:p w:rsidR="00057923" w:rsidRPr="00057923" w:rsidRDefault="00057923" w:rsidP="00057923">
      <w:pPr>
        <w:spacing w:after="0" w:line="276" w:lineRule="auto"/>
        <w:ind w:left="720" w:firstLine="696"/>
        <w:jc w:val="both"/>
        <w:rPr>
          <w:rFonts w:ascii="Book Antiqua" w:eastAsia="Times New Roman" w:hAnsi="Book Antiqua" w:cs="Times New Roman"/>
        </w:rPr>
      </w:pPr>
      <w:r w:rsidRPr="00057923">
        <w:rPr>
          <w:rFonts w:ascii="Book Antiqua" w:eastAsia="Times New Roman" w:hAnsi="Book Antiqua" w:cs="Times New Roman"/>
        </w:rPr>
        <w:t>Vzhľadom na predlžovanie veku potrebného na nárok na starobný dôchodok podľa zákona o sociálnom poistení (ďalej len „dôchodkový vek“)</w:t>
      </w:r>
      <w:r w:rsidRPr="00057923">
        <w:rPr>
          <w:rFonts w:eastAsia="Times New Roman" w:cs="Times New Roman"/>
        </w:rPr>
        <w:t xml:space="preserve"> </w:t>
      </w:r>
      <w:r w:rsidRPr="00057923">
        <w:rPr>
          <w:rFonts w:ascii="Book Antiqua" w:eastAsia="Times New Roman" w:hAnsi="Book Antiqua" w:cs="Times New Roman"/>
        </w:rPr>
        <w:t>sa počnúc rokom 2017 začal zvyšovať odstup medzi vekom potrebným na nárok na doplnkový výsluhový dôchodok (vek 55 rokov bez zvyšovania) a dôchodkovým vekom (62 rokov a 139 dní v roku 2018, v roku 2019 to bude 62 rokov a 201 dní). Z uvedeného dôvodu by sa mohla stanoviť veková hranica na poberanie doplnkového výsluhového dôchodku závislá od dôchodkového veku. Do doplnkového výsluhového dôchodku by tak mohla odísť osoba, ktorá dovŕšila vek o 7 rokov nižší ako je aktuálny dôchodkový vek v roku 2018, teda 55 rokov a 139 dní (v roku 2019 by to bolo 55 rokov a 201 dní).</w:t>
      </w:r>
    </w:p>
    <w:p w:rsidR="00057923" w:rsidRPr="00057923" w:rsidRDefault="00057923" w:rsidP="00057923">
      <w:pPr>
        <w:spacing w:after="0" w:line="276" w:lineRule="auto"/>
        <w:ind w:left="720" w:firstLine="696"/>
        <w:jc w:val="both"/>
        <w:rPr>
          <w:rFonts w:ascii="Book Antiqua" w:eastAsia="Times New Roman" w:hAnsi="Book Antiqua" w:cs="Times New Roman"/>
        </w:rPr>
      </w:pPr>
      <w:r w:rsidRPr="00057923">
        <w:rPr>
          <w:rFonts w:ascii="Book Antiqua" w:eastAsia="Times New Roman" w:hAnsi="Book Antiqua" w:cs="Times New Roman"/>
        </w:rPr>
        <w:t xml:space="preserve">Taktiež by v prípade sprísnenia veku odchodu do doplnkového výsluhového dôchodku bolo možné zvážiť, v ktorej kategórií </w:t>
      </w:r>
      <w:proofErr w:type="spellStart"/>
      <w:r w:rsidRPr="00057923">
        <w:rPr>
          <w:rFonts w:ascii="Book Antiqua" w:eastAsia="Times New Roman" w:hAnsi="Book Antiqua" w:cs="Times New Roman"/>
        </w:rPr>
        <w:t>rizikár</w:t>
      </w:r>
      <w:proofErr w:type="spellEnd"/>
      <w:r w:rsidRPr="00057923">
        <w:rPr>
          <w:rFonts w:ascii="Book Antiqua" w:eastAsia="Times New Roman" w:hAnsi="Book Antiqua" w:cs="Times New Roman"/>
        </w:rPr>
        <w:t xml:space="preserve"> pracoval. Následne by sa mohol upraviť prísnejší dôchodkový vek pre osoby, ktoré vykonávali 10 rokov rizikových prác v 3. kategórii.</w:t>
      </w:r>
    </w:p>
    <w:p w:rsidR="00057923" w:rsidRPr="00057923" w:rsidRDefault="00057923" w:rsidP="00057923">
      <w:pPr>
        <w:spacing w:after="0" w:line="276" w:lineRule="auto"/>
        <w:ind w:left="720" w:firstLine="696"/>
        <w:jc w:val="both"/>
        <w:rPr>
          <w:rFonts w:eastAsia="Times New Roman" w:cs="Times New Roman"/>
        </w:rPr>
      </w:pPr>
    </w:p>
    <w:p w:rsidR="00057923" w:rsidRPr="00057923" w:rsidRDefault="00057923" w:rsidP="00057923">
      <w:pPr>
        <w:numPr>
          <w:ilvl w:val="0"/>
          <w:numId w:val="41"/>
        </w:numPr>
        <w:spacing w:after="0" w:line="276" w:lineRule="auto"/>
        <w:contextualSpacing/>
        <w:jc w:val="both"/>
        <w:rPr>
          <w:rFonts w:ascii="Book Antiqua" w:eastAsia="Times New Roman" w:hAnsi="Book Antiqua" w:cs="Times New Roman"/>
          <w:b/>
        </w:rPr>
      </w:pPr>
      <w:r w:rsidRPr="00057923">
        <w:rPr>
          <w:rFonts w:ascii="Book Antiqua" w:eastAsia="Times New Roman" w:hAnsi="Book Antiqua" w:cs="Times New Roman"/>
          <w:b/>
        </w:rPr>
        <w:t xml:space="preserve">Predĺžiť obdobie, počas ktorého musí </w:t>
      </w:r>
      <w:proofErr w:type="spellStart"/>
      <w:r w:rsidRPr="00057923">
        <w:rPr>
          <w:rFonts w:ascii="Book Antiqua" w:eastAsia="Times New Roman" w:hAnsi="Book Antiqua" w:cs="Times New Roman"/>
          <w:b/>
        </w:rPr>
        <w:t>rizikár</w:t>
      </w:r>
      <w:proofErr w:type="spellEnd"/>
      <w:r w:rsidRPr="00057923">
        <w:rPr>
          <w:rFonts w:ascii="Book Antiqua" w:eastAsia="Times New Roman" w:hAnsi="Book Antiqua" w:cs="Times New Roman"/>
          <w:b/>
        </w:rPr>
        <w:t xml:space="preserve"> vykonávať rizikovú prácu na nárok na doplnkový výsluhový dôchodok.</w:t>
      </w:r>
    </w:p>
    <w:p w:rsidR="00057923" w:rsidRPr="00057923" w:rsidRDefault="00057923" w:rsidP="00057923">
      <w:pPr>
        <w:spacing w:after="0" w:line="276" w:lineRule="auto"/>
        <w:ind w:left="709" w:firstLine="707"/>
        <w:contextualSpacing/>
        <w:jc w:val="both"/>
        <w:rPr>
          <w:rFonts w:ascii="Book Antiqua" w:eastAsia="Times New Roman" w:hAnsi="Book Antiqua" w:cs="Times New Roman"/>
        </w:rPr>
      </w:pPr>
      <w:r w:rsidRPr="00057923">
        <w:rPr>
          <w:rFonts w:ascii="Book Antiqua" w:eastAsia="Times New Roman" w:hAnsi="Book Antiqua" w:cs="Times New Roman"/>
        </w:rPr>
        <w:t xml:space="preserve">V prípade prepočtov nasporených súm, ktorými by priemerný </w:t>
      </w:r>
      <w:proofErr w:type="spellStart"/>
      <w:r w:rsidRPr="00057923">
        <w:rPr>
          <w:rFonts w:ascii="Book Antiqua" w:eastAsia="Times New Roman" w:hAnsi="Book Antiqua" w:cs="Times New Roman"/>
        </w:rPr>
        <w:t>rizikár</w:t>
      </w:r>
      <w:proofErr w:type="spellEnd"/>
      <w:r w:rsidRPr="00057923">
        <w:rPr>
          <w:rFonts w:ascii="Book Antiqua" w:eastAsia="Times New Roman" w:hAnsi="Book Antiqua" w:cs="Times New Roman"/>
        </w:rPr>
        <w:t xml:space="preserve"> disponoval pri jednotlivých obdobiach výkonu rizikových prác sme prišli k záveru, že na to, aby si mohol nasporiť dostatočnú sumu, ktorá by ho zabezpečila aspoň na úrovni životného minima na 5 rokov je potrebné aby vykonával rizikovú prácu aspoň 25 rokov. Z uvedeného vyplýva, že pravdepodobne iba málo z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(vyššie príjmoví, resp. takí, ktorým zamestnávateľ prispieva viac ako 2% z vymeriavacieho základu, resp. takí, ktorí si prispievajú dobrovoľne aj sami alebo majú svoju nasporenú sumu zhodnocovanú vo fonde, ktorý dosahuje vyššie výnosy) by bolo schopných si po 10-tich rokoch výkonu rizikových prác nasporiť takú sumu, aby im umožnila preklenúť obdobie od straty príjmu zo zamestnania v preddôchodkovom veku až po obdobie, v ktorom si budú môcť požiadať o predčasný starobný dôchodok.</w:t>
      </w:r>
    </w:p>
    <w:p w:rsidR="00057923" w:rsidRPr="00057923" w:rsidRDefault="00057923" w:rsidP="00057923">
      <w:pPr>
        <w:spacing w:after="0" w:line="276" w:lineRule="auto"/>
        <w:ind w:left="709" w:firstLine="707"/>
        <w:contextualSpacing/>
        <w:jc w:val="both"/>
        <w:rPr>
          <w:rFonts w:ascii="Book Antiqua" w:eastAsia="Times New Roman" w:hAnsi="Book Antiqua" w:cs="Times New Roman"/>
        </w:rPr>
      </w:pPr>
    </w:p>
    <w:p w:rsidR="00057923" w:rsidRPr="00057923" w:rsidRDefault="00057923" w:rsidP="00057923">
      <w:pPr>
        <w:numPr>
          <w:ilvl w:val="0"/>
          <w:numId w:val="41"/>
        </w:numPr>
        <w:spacing w:after="0" w:line="276" w:lineRule="auto"/>
        <w:contextualSpacing/>
        <w:jc w:val="both"/>
        <w:rPr>
          <w:rFonts w:ascii="Book Antiqua" w:eastAsia="Times New Roman" w:hAnsi="Book Antiqua" w:cs="Times New Roman"/>
          <w:b/>
        </w:rPr>
      </w:pPr>
      <w:r w:rsidRPr="00057923">
        <w:rPr>
          <w:rFonts w:ascii="Book Antiqua" w:eastAsia="Times New Roman" w:hAnsi="Book Antiqua" w:cs="Times New Roman"/>
          <w:b/>
        </w:rPr>
        <w:lastRenderedPageBreak/>
        <w:t>Stanoviť minimálnu sumu mesačnej splátky dočasného doplnkového výsluhového dôchodku.</w:t>
      </w:r>
    </w:p>
    <w:p w:rsidR="00057923" w:rsidRPr="00057923" w:rsidRDefault="00057923" w:rsidP="00057923">
      <w:pPr>
        <w:spacing w:after="0" w:line="276" w:lineRule="auto"/>
        <w:ind w:left="720" w:firstLine="696"/>
        <w:contextualSpacing/>
        <w:jc w:val="both"/>
        <w:rPr>
          <w:rFonts w:ascii="Book Antiqua" w:eastAsia="Times New Roman" w:hAnsi="Book Antiqua" w:cs="Times New Roman"/>
        </w:rPr>
      </w:pPr>
      <w:r w:rsidRPr="00057923">
        <w:rPr>
          <w:rFonts w:ascii="Book Antiqua" w:eastAsia="Times New Roman" w:hAnsi="Book Antiqua" w:cs="Times New Roman"/>
        </w:rPr>
        <w:t>Vzhľadom na nasporené sumy účastníkov s novou zmluvou v preddôchodkovom veku si takmer nikto z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nemôže vykryť aspoň čiastočne stratu príjmu až na 5 rokov. V prípade, že poberanie doplnkového výsluhového dôchodku by malo  zabezpečiť príjem účastníkovi na nejakej minimálnej úrovni bolo by možné stanoviť takúto minimálnu výšku mesačnej splátky doplnkového výsluhového dôchodku a umožniť poberanie tohto typu dôchodku iba tým účastníkom, ktorých nasporená suma bude postačovať na výplatu tohto dôchodku minimálne počas piatich rokov. Treba však povedať, že uvedený prístup má aj svoje riziká. V prvom rade treba uviesť, že v súčasnej dobe by dané kritérium nemusel spĺňať takmer žiadny </w:t>
      </w:r>
      <w:proofErr w:type="spellStart"/>
      <w:r w:rsidRPr="00057923">
        <w:rPr>
          <w:rFonts w:ascii="Book Antiqua" w:eastAsia="Times New Roman" w:hAnsi="Book Antiqua" w:cs="Times New Roman"/>
        </w:rPr>
        <w:t>rizikár</w:t>
      </w:r>
      <w:proofErr w:type="spellEnd"/>
      <w:r w:rsidRPr="00057923">
        <w:rPr>
          <w:rFonts w:ascii="Book Antiqua" w:eastAsia="Times New Roman" w:hAnsi="Book Antiqua" w:cs="Times New Roman"/>
        </w:rPr>
        <w:t xml:space="preserve">, a tak by sprísnenie podmienok vyplácania doplnkového výsluhového dôchodku mohlo viesť skôr k využívaniu jednorazových dávok ešte vo väčšej miere ako je tomu dnes. </w:t>
      </w:r>
    </w:p>
    <w:p w:rsidR="00057923" w:rsidRPr="00057923" w:rsidRDefault="00057923" w:rsidP="00057923">
      <w:pPr>
        <w:spacing w:after="0" w:line="276" w:lineRule="auto"/>
        <w:rPr>
          <w:rFonts w:eastAsia="Times New Roman" w:cs="Times New Roman"/>
          <w:b/>
        </w:rPr>
      </w:pPr>
    </w:p>
    <w:p w:rsidR="00057923" w:rsidRPr="00057923" w:rsidRDefault="00057923" w:rsidP="00057923">
      <w:pPr>
        <w:numPr>
          <w:ilvl w:val="0"/>
          <w:numId w:val="41"/>
        </w:numPr>
        <w:spacing w:after="0" w:line="276" w:lineRule="auto"/>
        <w:contextualSpacing/>
        <w:jc w:val="both"/>
        <w:rPr>
          <w:rFonts w:ascii="Book Antiqua" w:eastAsia="Times New Roman" w:hAnsi="Book Antiqua" w:cs="Times New Roman"/>
        </w:rPr>
      </w:pPr>
      <w:r w:rsidRPr="00057923">
        <w:rPr>
          <w:rFonts w:ascii="Book Antiqua" w:eastAsia="Times New Roman" w:hAnsi="Book Antiqua" w:cs="Times New Roman"/>
          <w:b/>
        </w:rPr>
        <w:t xml:space="preserve">Dodatočne zvýhodniť </w:t>
      </w:r>
      <w:proofErr w:type="spellStart"/>
      <w:r w:rsidRPr="00057923">
        <w:rPr>
          <w:rFonts w:ascii="Book Antiqua" w:eastAsia="Times New Roman" w:hAnsi="Book Antiqua" w:cs="Times New Roman"/>
          <w:b/>
        </w:rPr>
        <w:t>rizikárov</w:t>
      </w:r>
      <w:proofErr w:type="spellEnd"/>
      <w:r w:rsidRPr="00057923">
        <w:rPr>
          <w:rFonts w:ascii="Book Antiqua" w:eastAsia="Times New Roman" w:hAnsi="Book Antiqua" w:cs="Times New Roman"/>
          <w:b/>
        </w:rPr>
        <w:t xml:space="preserve"> pri čerpaní doplnkového výsluhového dôchodku.</w:t>
      </w:r>
      <w:r w:rsidRPr="00057923">
        <w:rPr>
          <w:rFonts w:ascii="Book Antiqua" w:eastAsia="Times New Roman" w:hAnsi="Book Antiqua" w:cs="Times New Roman"/>
        </w:rPr>
        <w:t xml:space="preserve"> </w:t>
      </w:r>
    </w:p>
    <w:p w:rsidR="00057923" w:rsidRPr="00057923" w:rsidRDefault="00057923" w:rsidP="00057923">
      <w:pPr>
        <w:spacing w:after="200" w:line="276" w:lineRule="auto"/>
        <w:ind w:left="709" w:firstLine="709"/>
        <w:contextualSpacing/>
        <w:jc w:val="both"/>
        <w:rPr>
          <w:rFonts w:ascii="Book Antiqua" w:eastAsia="Times New Roman" w:hAnsi="Book Antiqua" w:cs="Times New Roman"/>
        </w:rPr>
      </w:pPr>
      <w:r w:rsidRPr="00057923">
        <w:rPr>
          <w:rFonts w:ascii="Book Antiqua" w:eastAsia="Times New Roman" w:hAnsi="Book Antiqua" w:cs="Times New Roman"/>
        </w:rPr>
        <w:t xml:space="preserve">V súčasnej dobe môžeme povedať, že doplnkové zabezpečenie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na dôchodku financuje prevažne zamestnávateľ, tým, že im prispieva na DDS v minimálnej výške 2 % z ich vymeriavacieho základu. V súvislosti s úpravou podmienok vyplácania doplnkového výsluhového dôchodku by sme sa mohli pozrieť na iné benefity, ktoré by v rámci poberania tohto typu dôchodku mohol poskytovať štát.</w:t>
      </w:r>
    </w:p>
    <w:p w:rsidR="00057923" w:rsidRPr="00057923" w:rsidRDefault="00057923" w:rsidP="00057923">
      <w:pPr>
        <w:numPr>
          <w:ilvl w:val="0"/>
          <w:numId w:val="40"/>
        </w:numPr>
        <w:spacing w:after="200" w:line="276" w:lineRule="auto"/>
        <w:contextualSpacing/>
        <w:jc w:val="both"/>
        <w:rPr>
          <w:rFonts w:ascii="Book Antiqua" w:eastAsia="Times New Roman" w:hAnsi="Book Antiqua" w:cs="Times New Roman"/>
        </w:rPr>
      </w:pPr>
      <w:r w:rsidRPr="00057923">
        <w:rPr>
          <w:rFonts w:ascii="Book Antiqua" w:eastAsia="Times New Roman" w:hAnsi="Book Antiqua" w:cs="Times New Roman"/>
        </w:rPr>
        <w:t xml:space="preserve">V prípade, že by </w:t>
      </w:r>
      <w:r w:rsidRPr="00057923">
        <w:rPr>
          <w:rFonts w:ascii="Book Antiqua" w:eastAsia="Times New Roman" w:hAnsi="Book Antiqua" w:cs="Times New Roman"/>
          <w:b/>
        </w:rPr>
        <w:t>zamestnanec poberal doplnkový výsluhový dôchodok bol by zaradený medzi poistencov štátu na verejné zdravotné poistenie</w:t>
      </w:r>
      <w:r w:rsidRPr="00057923">
        <w:rPr>
          <w:rFonts w:ascii="Book Antiqua" w:eastAsia="Times New Roman" w:hAnsi="Book Antiqua" w:cs="Times New Roman"/>
        </w:rPr>
        <w:t>. Teda, ak by takáto osoba bola nútená odísť z trhu práce skôr, či už z dôvodu straty zamestnania alebo zo zdravotných dôvodov, resp. z dôvodu opotrebovania, nebola by vedená v evidencii uchádzačov o zamestnanie na úrade práce a mohla by poberať doplnkový výsluhový dôchodok bez toho aby sa stala samoplatcom na verejné zdravotné poistenie. Na druhej strane môže byť voči tomuto kroku vznesená kritika, že uvedené zvýhodnenie sa vzťahuje na osoby, ktoré podľa lekárskeho posudku nedosiahli pokles schopnosti vykonávať zárobkovú činnosť pre dlhodobo nepriaznivý zdravotný stav na takej úrovni, aby mali nárok na invalidný dôchodok čo je v rozpore s aktívnou politikou trhu práce (staršie osoby ako 50 rokov veku patria podľa zákona č. 5/2004 Z. z. o službách zamestnanosti a o zmene a doplnení niektorých zákonov v znení neskorších predpisov medzi znevýhodnených uchádzačov o zamestnanie a aj pre nich sú koncipované nástroje ako napr</w:t>
      </w:r>
      <w:r w:rsidRPr="00057923">
        <w:rPr>
          <w:rFonts w:ascii="Book Antiqua" w:eastAsia="Times New Roman" w:hAnsi="Book Antiqua" w:cs="Times New Roman"/>
          <w:b/>
        </w:rPr>
        <w:t xml:space="preserve">. </w:t>
      </w:r>
      <w:r w:rsidRPr="00057923">
        <w:rPr>
          <w:rFonts w:ascii="Book Antiqua" w:eastAsia="Times New Roman" w:hAnsi="Book Antiqua" w:cs="Tahoma-Bold"/>
          <w:bCs/>
        </w:rPr>
        <w:t>príspevky na podporu ich zamestnávania</w:t>
      </w:r>
      <w:r w:rsidRPr="00057923">
        <w:rPr>
          <w:rFonts w:ascii="Book Antiqua" w:eastAsia="Times New Roman" w:hAnsi="Book Antiqua" w:cs="Times New Roman"/>
        </w:rPr>
        <w:t>, rekvalifikácie, celoživotné vzdelávanie...). Dopady na štátny rozpočet nie je možné kvantifikovať z dôvodu, že MPSVR SR nevie určiť okruh osôb, ktorých by sa v budúcnosti táto zmena mohla dotknúť.</w:t>
      </w:r>
    </w:p>
    <w:p w:rsidR="00057923" w:rsidRPr="00057923" w:rsidRDefault="00057923" w:rsidP="00057923">
      <w:pPr>
        <w:spacing w:after="200" w:line="276" w:lineRule="auto"/>
        <w:ind w:left="2138"/>
        <w:contextualSpacing/>
        <w:jc w:val="both"/>
        <w:rPr>
          <w:rFonts w:ascii="Book Antiqua" w:eastAsia="Times New Roman" w:hAnsi="Book Antiqua" w:cs="Times New Roman"/>
        </w:rPr>
      </w:pPr>
    </w:p>
    <w:p w:rsidR="00057923" w:rsidRPr="00057923" w:rsidRDefault="00057923" w:rsidP="00057923">
      <w:pPr>
        <w:numPr>
          <w:ilvl w:val="0"/>
          <w:numId w:val="40"/>
        </w:numPr>
        <w:spacing w:after="200" w:line="276" w:lineRule="auto"/>
        <w:contextualSpacing/>
        <w:jc w:val="both"/>
        <w:rPr>
          <w:rFonts w:ascii="Book Antiqua" w:eastAsia="Times New Roman" w:hAnsi="Book Antiqua" w:cs="Times New Roman"/>
        </w:rPr>
      </w:pPr>
      <w:r w:rsidRPr="00057923">
        <w:rPr>
          <w:rFonts w:ascii="Book Antiqua" w:eastAsia="Times New Roman" w:hAnsi="Book Antiqua" w:cs="Times New Roman"/>
          <w:b/>
        </w:rPr>
        <w:lastRenderedPageBreak/>
        <w:t>Oslobodenie doplnkového výsluhového dôchodku od dane z príjmu.</w:t>
      </w:r>
      <w:r w:rsidRPr="00057923">
        <w:rPr>
          <w:rFonts w:ascii="Book Antiqua" w:eastAsia="Times New Roman" w:hAnsi="Book Antiqua" w:cs="Times New Roman"/>
          <w:b/>
          <w:vertAlign w:val="superscript"/>
        </w:rPr>
        <w:footnoteReference w:id="32"/>
      </w:r>
      <w:r w:rsidRPr="00057923">
        <w:rPr>
          <w:rFonts w:ascii="Book Antiqua" w:eastAsia="Times New Roman" w:hAnsi="Book Antiqua" w:cs="Times New Roman"/>
          <w:b/>
        </w:rPr>
        <w:t xml:space="preserve"> </w:t>
      </w:r>
      <w:r w:rsidRPr="00057923">
        <w:rPr>
          <w:rFonts w:ascii="Book Antiqua" w:eastAsia="Times New Roman" w:hAnsi="Book Antiqua" w:cs="Times New Roman"/>
        </w:rPr>
        <w:t>Platenie zrážkovej dane z výnosu ovplyvňuje výšku dôchodku účastníka. V závislosti od výšky výnosu a doby sporenia zrazená daň zníži dôchodok v rozmedzí 2% - 6%. Ak napríklad účastník vykonával rizikovú prácu 30 rokov a priemerný výnos bol na úrovni 1,86%, jeho dôchodok by bol nižší o 4% v porovnaní s prípadom, že by daň z výnosu poberateľ doplnkového výsluhového dôchodku platiť nemusel. Dopady na štátny rozpočet nie je možné kvantifikovať z dôvodu, že MPSVR SR nevie určiť okruh osôb, ktorých by sa v budúcnosti táto zmena mohla dotknúť a akou nasporenou sumou budú disponovať.</w:t>
      </w:r>
    </w:p>
    <w:p w:rsidR="00057923" w:rsidRPr="00057923" w:rsidRDefault="00057923" w:rsidP="00057923">
      <w:pPr>
        <w:spacing w:after="120" w:line="276" w:lineRule="auto"/>
        <w:jc w:val="both"/>
        <w:rPr>
          <w:rFonts w:ascii="Book Antiqua" w:eastAsia="Times New Roman" w:hAnsi="Book Antiqua" w:cs="Times New Roman"/>
          <w:b/>
          <w:i/>
        </w:rPr>
      </w:pPr>
      <w:r w:rsidRPr="00057923">
        <w:rPr>
          <w:rFonts w:ascii="Book Antiqua" w:eastAsia="Times New Roman" w:hAnsi="Book Antiqua" w:cs="Times New Roman"/>
          <w:b/>
          <w:i/>
        </w:rPr>
        <w:t>4.4 Záver ku kapitole 4</w:t>
      </w:r>
    </w:p>
    <w:p w:rsidR="00057923" w:rsidRPr="00057923" w:rsidRDefault="00057923" w:rsidP="00057923">
      <w:pPr>
        <w:spacing w:after="200" w:line="276" w:lineRule="auto"/>
        <w:ind w:firstLine="708"/>
        <w:jc w:val="both"/>
        <w:rPr>
          <w:rFonts w:ascii="Book Antiqua" w:eastAsia="Times New Roman" w:hAnsi="Book Antiqua" w:cs="Times New Roman"/>
        </w:rPr>
      </w:pPr>
      <w:r w:rsidRPr="00057923">
        <w:rPr>
          <w:rFonts w:ascii="Book Antiqua" w:eastAsia="Times New Roman" w:hAnsi="Book Antiqua" w:cs="Times New Roman"/>
        </w:rPr>
        <w:t xml:space="preserve">V súlade s cieľom 6 časti 7.3 Národného programu aktívneho starnutia bolo úlohou MPSVR SR stanoviť optimálne podmienky vyplácania doplnkového výsluhového dôchodku zo systému DDS. </w:t>
      </w:r>
    </w:p>
    <w:p w:rsidR="00057923" w:rsidRPr="00057923" w:rsidRDefault="00057923" w:rsidP="00057923">
      <w:pPr>
        <w:spacing w:after="0" w:line="276" w:lineRule="auto"/>
        <w:ind w:firstLine="709"/>
        <w:jc w:val="both"/>
        <w:rPr>
          <w:rFonts w:ascii="Book Antiqua" w:eastAsia="Times New Roman" w:hAnsi="Book Antiqua" w:cs="Times New Roman"/>
        </w:rPr>
      </w:pPr>
      <w:r w:rsidRPr="00057923">
        <w:rPr>
          <w:rFonts w:ascii="Book Antiqua" w:eastAsia="Times New Roman" w:hAnsi="Book Antiqua" w:cs="Times New Roman"/>
          <w:u w:val="single"/>
        </w:rPr>
        <w:t>Na základe dát, ktorými MPSVR SR momentálne disponuje nie je možné stanoviť presné podmienky vyplácania doplnkového výsluhového dôchodku, ktoré by boli optimálne vzhľadom na medicínske, právne a ekonomické hľadisko.</w:t>
      </w:r>
      <w:r w:rsidRPr="00057923">
        <w:rPr>
          <w:rFonts w:ascii="Book Antiqua" w:eastAsia="Times New Roman" w:hAnsi="Book Antiqua" w:cs="Times New Roman"/>
        </w:rPr>
        <w:t xml:space="preserve"> Z uvedeného dôvodu v časti 4.3.2. uvádzame súhrn možných opatrení vzhľadom k nastaveniam podmienok doplnkového výsluhového dôchodku, ktoré by mohli prispieť k </w:t>
      </w:r>
      <w:proofErr w:type="spellStart"/>
      <w:r w:rsidRPr="00057923">
        <w:rPr>
          <w:rFonts w:ascii="Book Antiqua" w:eastAsia="Times New Roman" w:hAnsi="Book Antiqua" w:cs="Times New Roman"/>
        </w:rPr>
        <w:t>optimálnejšiemu</w:t>
      </w:r>
      <w:proofErr w:type="spellEnd"/>
      <w:r w:rsidRPr="00057923">
        <w:rPr>
          <w:rFonts w:ascii="Book Antiqua" w:eastAsia="Times New Roman" w:hAnsi="Book Antiqua" w:cs="Times New Roman"/>
        </w:rPr>
        <w:t xml:space="preserve"> upraveniu tejto dávky. Taktiež odporúčame doplniť, resp. zopakovať analýzu v období keď budú dostupné vhodnejšie dáta, prípadne dlhšie časové rady dát o účastníkoch DDS a bude možné z nich určiť, ktoré z uvedených možných opatrení vzhľadom k nastaveniam podmienok doplnkového výsluhového dôchodku môže byť najefektívnejšie. V súčasnej dobe však vieme povedať, že vzhľadom na predlžovanie dôchodkového veku sa počnúc rokom 2017 začal zvyšovať odstup medzi vekom potrebným na nárok na doplnkový výsluhový dôchodok (vek 55 rokov bez zvyšovania) a dôchodkovým vekom (62 rokov a 139 dní v roku 2018, v roku 2019 to bude 62 rokov a 201 dní). Z uvedeného dôvodu odporúčame naviazať vekovú hranicu na poberanie doplnkového výsluhového dôchodku na dôchodkový vek. Do doplnkového výsluhového dôchodku by tak mohla odísť osoba, ktorá dovŕšila vek o 7 rokov nižší ako je aktuálny dôchodkový vek v roku 2018, teda 55 rokov a 139 dní (v roku 2019 by to bolo 55 rokov a 202 dní).</w:t>
      </w:r>
    </w:p>
    <w:p w:rsidR="00057923" w:rsidRPr="00057923" w:rsidRDefault="00057923" w:rsidP="00057923">
      <w:pPr>
        <w:spacing w:after="0" w:line="276" w:lineRule="auto"/>
        <w:ind w:firstLine="709"/>
        <w:jc w:val="both"/>
        <w:rPr>
          <w:rFonts w:ascii="Book Antiqua" w:eastAsia="Times New Roman" w:hAnsi="Book Antiqua" w:cs="Times New Roman"/>
        </w:rPr>
      </w:pPr>
    </w:p>
    <w:p w:rsidR="00057923" w:rsidRPr="00057923" w:rsidRDefault="00057923" w:rsidP="00057923">
      <w:pPr>
        <w:spacing w:after="200" w:line="276" w:lineRule="auto"/>
        <w:ind w:firstLine="705"/>
        <w:jc w:val="both"/>
        <w:rPr>
          <w:rFonts w:ascii="Book Antiqua" w:eastAsia="Times New Roman" w:hAnsi="Book Antiqua" w:cs="Times New Roman"/>
        </w:rPr>
      </w:pPr>
      <w:r w:rsidRPr="00057923">
        <w:rPr>
          <w:rFonts w:ascii="Book Antiqua" w:eastAsia="Times New Roman" w:hAnsi="Book Antiqua" w:cs="Times New Roman"/>
        </w:rPr>
        <w:t xml:space="preserve">Na druhej strane MPSVR SR eviduje, priebežne analyzuje a v časti 4.3.1. analýzy zhrnulo viaceré aspekty sporiacej fázy DDS, ktoré majú, resp. budú mať v budúcnosti veľký vplyv na zabezpečenie </w:t>
      </w:r>
      <w:proofErr w:type="spellStart"/>
      <w:r w:rsidRPr="00057923">
        <w:rPr>
          <w:rFonts w:ascii="Book Antiqua" w:eastAsia="Times New Roman" w:hAnsi="Book Antiqua" w:cs="Times New Roman"/>
        </w:rPr>
        <w:t>rizikárov</w:t>
      </w:r>
      <w:proofErr w:type="spellEnd"/>
      <w:r w:rsidRPr="00057923">
        <w:rPr>
          <w:rFonts w:ascii="Book Antiqua" w:eastAsia="Times New Roman" w:hAnsi="Book Antiqua" w:cs="Times New Roman"/>
        </w:rPr>
        <w:t xml:space="preserve"> ale aj </w:t>
      </w:r>
      <w:proofErr w:type="spellStart"/>
      <w:r w:rsidRPr="00057923">
        <w:rPr>
          <w:rFonts w:ascii="Book Antiqua" w:eastAsia="Times New Roman" w:hAnsi="Book Antiqua" w:cs="Times New Roman"/>
        </w:rPr>
        <w:t>nerizikárov</w:t>
      </w:r>
      <w:proofErr w:type="spellEnd"/>
      <w:r w:rsidRPr="00057923">
        <w:rPr>
          <w:rFonts w:ascii="Book Antiqua" w:eastAsia="Times New Roman" w:hAnsi="Book Antiqua" w:cs="Times New Roman"/>
        </w:rPr>
        <w:t xml:space="preserve"> v starobe a po skončení výkonu prác. Bez riešenia uvedených problémov (nízke nasporené sumy účastníkov DDS, väčšina zmlúv, ktorých súčasťou sú dávkové plány a pod.) v súčasnej dobe neodporúčame zásadným </w:t>
      </w:r>
      <w:r w:rsidRPr="00057923">
        <w:rPr>
          <w:rFonts w:ascii="Book Antiqua" w:eastAsia="Times New Roman" w:hAnsi="Book Antiqua" w:cs="Times New Roman"/>
        </w:rPr>
        <w:lastRenderedPageBreak/>
        <w:t xml:space="preserve">spôsobom meniť podmienky vyplácania doplnkového výsluhového dôchodku a zvážiť zmenu týchto podmienok opätovne v budúcnosti, kedy budú dostupné presnejšie dáta a situácia v III. pilieri bude čo sa týka uvedených bodov v časti 4.3.1. pozitívnejšia. </w:t>
      </w:r>
    </w:p>
    <w:p w:rsidR="00057923" w:rsidRPr="00057923" w:rsidRDefault="00057923" w:rsidP="00057923">
      <w:pPr>
        <w:spacing w:after="200" w:line="276" w:lineRule="auto"/>
        <w:ind w:firstLine="705"/>
        <w:jc w:val="both"/>
        <w:rPr>
          <w:rFonts w:ascii="Book Antiqua" w:eastAsia="Times New Roman" w:hAnsi="Book Antiqua" w:cs="Times New Roman"/>
          <w:b/>
        </w:rPr>
      </w:pPr>
    </w:p>
    <w:p w:rsidR="00057923" w:rsidRPr="00057923" w:rsidRDefault="00057923" w:rsidP="00057923">
      <w:pPr>
        <w:spacing w:after="200" w:line="276" w:lineRule="auto"/>
        <w:rPr>
          <w:rFonts w:ascii="Book Antiqua" w:eastAsia="Times New Roman" w:hAnsi="Book Antiqua" w:cs="Times New Roman"/>
          <w:i/>
          <w:sz w:val="24"/>
          <w:szCs w:val="24"/>
        </w:rPr>
      </w:pPr>
      <w:r w:rsidRPr="00057923">
        <w:rPr>
          <w:rFonts w:ascii="Book Antiqua" w:eastAsia="Times New Roman" w:hAnsi="Book Antiqua" w:cs="Times New Roman"/>
          <w:b/>
          <w:bCs/>
          <w:i/>
          <w:sz w:val="24"/>
          <w:szCs w:val="24"/>
        </w:rPr>
        <w:br w:type="page"/>
      </w: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0" w:line="360" w:lineRule="auto"/>
        <w:jc w:val="both"/>
        <w:rPr>
          <w:rFonts w:ascii="Book Antiqua" w:eastAsia="Times New Roman" w:hAnsi="Book Antiqua" w:cs="Times New Roman"/>
          <w:b/>
          <w:sz w:val="20"/>
          <w:szCs w:val="20"/>
        </w:rPr>
      </w:pPr>
      <w:r w:rsidRPr="00057923">
        <w:rPr>
          <w:rFonts w:ascii="Book Antiqua" w:eastAsia="Times New Roman" w:hAnsi="Book Antiqua" w:cs="Times New Roman"/>
          <w:b/>
          <w:sz w:val="20"/>
          <w:szCs w:val="20"/>
        </w:rPr>
        <w:t>Zoznam použitých skratiek</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PSD</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predčasný starobný dôchodok</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SD</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starobný dôchodok</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MPSVR SR</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Ministerstvo práce, sociálnych vecí a rodiny Slovenskej republiky</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OECD</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Organizácia pre hospodársku spoluprácu a rozvoj</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MIDO</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minimálny dôchodok</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OMB</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osobný mzdový bod</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POMB</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priemerný osobný mzdový bod</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ÚP</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úrad práce</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ZŤP</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zdravotne ťažko postihnutý</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HN</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hmotná núdza</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MOP</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Medzinárodná organizácia práce</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DDS</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doplnkové dôchodkové sporenie</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SZČO</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samostatne zárobkovo činná osoba</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MOP</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Medzinárodná organizácia práce</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DDP</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doplnkové dôchodkové poistenie</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NIP</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Národný inšpektorát práce</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ISOP</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Informačný systém ochrany práce</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BOZP</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bezpečnosť a ochrana zdravia pri práci</w:t>
      </w:r>
    </w:p>
    <w:p w:rsidR="00057923" w:rsidRPr="00057923" w:rsidRDefault="00057923" w:rsidP="00057923">
      <w:pPr>
        <w:tabs>
          <w:tab w:val="left" w:pos="1260"/>
          <w:tab w:val="left" w:pos="1440"/>
          <w:tab w:val="left" w:pos="1620"/>
          <w:tab w:val="center" w:pos="4536"/>
          <w:tab w:val="right" w:pos="9072"/>
        </w:tabs>
        <w:spacing w:after="0" w:line="360"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ÚVZ SR</w:t>
      </w:r>
      <w:r w:rsidRPr="00057923">
        <w:rPr>
          <w:rFonts w:ascii="Book Antiqua" w:eastAsia="Times New Roman" w:hAnsi="Book Antiqua" w:cs="Times New Roman"/>
          <w:sz w:val="20"/>
          <w:szCs w:val="20"/>
        </w:rPr>
        <w:tab/>
      </w:r>
      <w:r w:rsidRPr="00057923">
        <w:rPr>
          <w:rFonts w:ascii="Book Antiqua" w:eastAsia="Times New Roman" w:hAnsi="Book Antiqua" w:cs="Times New Roman"/>
          <w:sz w:val="20"/>
          <w:szCs w:val="20"/>
        </w:rPr>
        <w:tab/>
        <w:t>Úrad verejného zdravotníctva SR</w:t>
      </w:r>
    </w:p>
    <w:p w:rsidR="00057923" w:rsidRPr="00057923" w:rsidRDefault="00057923" w:rsidP="00057923">
      <w:pPr>
        <w:spacing w:after="200" w:line="360" w:lineRule="auto"/>
        <w:jc w:val="both"/>
        <w:rPr>
          <w:rFonts w:ascii="Book Antiqua" w:eastAsia="Times New Roman" w:hAnsi="Book Antiqua" w:cs="Times New Roman"/>
          <w:b/>
          <w:i/>
          <w:sz w:val="20"/>
          <w:szCs w:val="20"/>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b/>
          <w:i/>
        </w:rPr>
      </w:pPr>
      <w:r w:rsidRPr="00057923">
        <w:rPr>
          <w:rFonts w:ascii="Book Antiqua" w:eastAsia="Times New Roman" w:hAnsi="Book Antiqua" w:cs="Times New Roman"/>
          <w:b/>
          <w:i/>
        </w:rPr>
        <w:lastRenderedPageBreak/>
        <w:t>5. Príloha</w:t>
      </w:r>
    </w:p>
    <w:p w:rsidR="00057923" w:rsidRPr="00057923" w:rsidRDefault="00057923" w:rsidP="00057923">
      <w:pPr>
        <w:spacing w:after="200" w:line="276" w:lineRule="auto"/>
        <w:rPr>
          <w:rFonts w:ascii="Book Antiqua" w:eastAsia="Times New Roman" w:hAnsi="Book Antiqua" w:cs="Times New Roman"/>
          <w:i/>
        </w:rPr>
      </w:pPr>
      <w:r w:rsidRPr="00057923">
        <w:rPr>
          <w:rFonts w:ascii="Book Antiqua" w:eastAsia="Times New Roman" w:hAnsi="Book Antiqua" w:cs="Times New Roman"/>
          <w:b/>
          <w:i/>
        </w:rPr>
        <w:t>Tabuľka 1</w:t>
      </w:r>
      <w:r w:rsidRPr="00057923">
        <w:rPr>
          <w:rFonts w:ascii="Book Antiqua" w:eastAsia="Times New Roman" w:hAnsi="Book Antiqua" w:cs="Times New Roman"/>
          <w:i/>
        </w:rPr>
        <w:t>: Dôchodkový vek v krajinách Európskej únie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15"/>
        <w:gridCol w:w="2613"/>
        <w:gridCol w:w="2624"/>
        <w:gridCol w:w="1908"/>
      </w:tblGrid>
      <w:tr w:rsidR="00057923" w:rsidRPr="00057923" w:rsidTr="00A62543">
        <w:trPr>
          <w:trHeight w:val="863"/>
          <w:jc w:val="center"/>
        </w:trPr>
        <w:tc>
          <w:tcPr>
            <w:tcW w:w="1057" w:type="pct"/>
            <w:shd w:val="clear" w:color="auto" w:fill="A6A6A6"/>
            <w:vAlign w:val="center"/>
          </w:tcPr>
          <w:p w:rsidR="00057923" w:rsidRPr="00057923" w:rsidRDefault="00057923" w:rsidP="00057923">
            <w:pPr>
              <w:spacing w:after="0" w:line="276" w:lineRule="auto"/>
              <w:jc w:val="center"/>
              <w:rPr>
                <w:rFonts w:ascii="Book Antiqua" w:eastAsia="Times New Roman" w:hAnsi="Book Antiqua" w:cs="Times New Roman"/>
                <w:b/>
                <w:color w:val="FFFFFF"/>
                <w:sz w:val="20"/>
                <w:szCs w:val="20"/>
              </w:rPr>
            </w:pPr>
            <w:r w:rsidRPr="00057923">
              <w:rPr>
                <w:rFonts w:ascii="Book Antiqua" w:eastAsia="Times New Roman" w:hAnsi="Book Antiqua" w:cs="Times New Roman"/>
                <w:b/>
                <w:color w:val="FFFFFF"/>
                <w:sz w:val="20"/>
                <w:szCs w:val="20"/>
              </w:rPr>
              <w:t>Členská krajina</w:t>
            </w:r>
          </w:p>
        </w:tc>
        <w:tc>
          <w:tcPr>
            <w:tcW w:w="1442" w:type="pct"/>
            <w:shd w:val="clear" w:color="auto" w:fill="A6A6A6"/>
            <w:vAlign w:val="center"/>
          </w:tcPr>
          <w:p w:rsidR="00057923" w:rsidRPr="00057923" w:rsidRDefault="00057923" w:rsidP="00057923">
            <w:pPr>
              <w:spacing w:after="0" w:line="276" w:lineRule="auto"/>
              <w:jc w:val="center"/>
              <w:rPr>
                <w:rFonts w:ascii="Book Antiqua" w:eastAsia="Times New Roman" w:hAnsi="Book Antiqua" w:cs="Times New Roman"/>
                <w:b/>
                <w:color w:val="FFFFFF"/>
                <w:sz w:val="20"/>
                <w:szCs w:val="20"/>
              </w:rPr>
            </w:pPr>
            <w:r w:rsidRPr="00057923">
              <w:rPr>
                <w:rFonts w:ascii="Book Antiqua" w:eastAsia="Times New Roman" w:hAnsi="Book Antiqua" w:cs="Times New Roman"/>
                <w:b/>
                <w:color w:val="FFFFFF"/>
                <w:sz w:val="20"/>
                <w:szCs w:val="20"/>
              </w:rPr>
              <w:t>Dôchodkový vek</w:t>
            </w:r>
          </w:p>
          <w:p w:rsidR="00057923" w:rsidRPr="00057923" w:rsidRDefault="00057923" w:rsidP="00057923">
            <w:pPr>
              <w:spacing w:after="0" w:line="276" w:lineRule="auto"/>
              <w:jc w:val="center"/>
              <w:rPr>
                <w:rFonts w:ascii="Book Antiqua" w:eastAsia="Times New Roman" w:hAnsi="Book Antiqua" w:cs="Times New Roman"/>
                <w:b/>
                <w:color w:val="FFFFFF"/>
                <w:sz w:val="20"/>
                <w:szCs w:val="20"/>
              </w:rPr>
            </w:pPr>
            <w:r w:rsidRPr="00057923">
              <w:rPr>
                <w:rFonts w:ascii="Book Antiqua" w:eastAsia="Times New Roman" w:hAnsi="Book Antiqua" w:cs="Times New Roman"/>
                <w:b/>
                <w:color w:val="FFFFFF"/>
                <w:sz w:val="20"/>
                <w:szCs w:val="20"/>
              </w:rPr>
              <w:t>pre mužov/ženy v roku 2017</w:t>
            </w:r>
          </w:p>
        </w:tc>
        <w:tc>
          <w:tcPr>
            <w:tcW w:w="1448" w:type="pct"/>
            <w:shd w:val="clear" w:color="auto" w:fill="A6A6A6"/>
            <w:vAlign w:val="center"/>
          </w:tcPr>
          <w:p w:rsidR="00057923" w:rsidRPr="00057923" w:rsidRDefault="00057923" w:rsidP="00057923">
            <w:pPr>
              <w:spacing w:after="0" w:line="276" w:lineRule="auto"/>
              <w:jc w:val="center"/>
              <w:rPr>
                <w:rFonts w:ascii="Book Antiqua" w:eastAsia="Times New Roman" w:hAnsi="Book Antiqua" w:cs="Times New Roman"/>
                <w:b/>
                <w:color w:val="FFFFFF"/>
                <w:sz w:val="20"/>
                <w:szCs w:val="20"/>
              </w:rPr>
            </w:pPr>
            <w:r w:rsidRPr="00057923">
              <w:rPr>
                <w:rFonts w:ascii="Book Antiqua" w:eastAsia="Times New Roman" w:hAnsi="Book Antiqua" w:cs="Times New Roman"/>
                <w:b/>
                <w:color w:val="FFFFFF"/>
                <w:sz w:val="20"/>
                <w:szCs w:val="20"/>
              </w:rPr>
              <w:t>Dôchodkový vek</w:t>
            </w:r>
          </w:p>
          <w:p w:rsidR="00057923" w:rsidRPr="00057923" w:rsidRDefault="00057923" w:rsidP="00057923">
            <w:pPr>
              <w:spacing w:after="0" w:line="276" w:lineRule="auto"/>
              <w:jc w:val="center"/>
              <w:rPr>
                <w:rFonts w:ascii="Book Antiqua" w:eastAsia="Times New Roman" w:hAnsi="Book Antiqua" w:cs="Times New Roman"/>
                <w:b/>
                <w:color w:val="FFFFFF"/>
                <w:sz w:val="20"/>
                <w:szCs w:val="20"/>
              </w:rPr>
            </w:pPr>
            <w:r w:rsidRPr="00057923">
              <w:rPr>
                <w:rFonts w:ascii="Book Antiqua" w:eastAsia="Times New Roman" w:hAnsi="Book Antiqua" w:cs="Times New Roman"/>
                <w:b/>
                <w:color w:val="FFFFFF"/>
                <w:sz w:val="20"/>
                <w:szCs w:val="20"/>
              </w:rPr>
              <w:t>pre mužov/ženy v roku 2020</w:t>
            </w:r>
          </w:p>
        </w:tc>
        <w:tc>
          <w:tcPr>
            <w:tcW w:w="1053" w:type="pct"/>
            <w:shd w:val="clear" w:color="auto" w:fill="A6A6A6"/>
            <w:vAlign w:val="center"/>
          </w:tcPr>
          <w:p w:rsidR="00057923" w:rsidRPr="00057923" w:rsidRDefault="00057923" w:rsidP="00057923">
            <w:pPr>
              <w:spacing w:after="0" w:line="276" w:lineRule="auto"/>
              <w:jc w:val="center"/>
              <w:rPr>
                <w:rFonts w:ascii="Book Antiqua" w:eastAsia="Times New Roman" w:hAnsi="Book Antiqua" w:cs="Times New Roman"/>
                <w:b/>
                <w:color w:val="FFFFFF"/>
                <w:sz w:val="20"/>
                <w:szCs w:val="20"/>
              </w:rPr>
            </w:pPr>
            <w:r w:rsidRPr="00057923">
              <w:rPr>
                <w:rFonts w:ascii="Book Antiqua" w:eastAsia="Times New Roman" w:hAnsi="Book Antiqua" w:cs="Times New Roman"/>
                <w:b/>
                <w:color w:val="FFFFFF"/>
                <w:sz w:val="20"/>
                <w:szCs w:val="20"/>
              </w:rPr>
              <w:t>Dôchodkový vek</w:t>
            </w:r>
          </w:p>
          <w:p w:rsidR="00057923" w:rsidRPr="00057923" w:rsidRDefault="00057923" w:rsidP="00057923">
            <w:pPr>
              <w:spacing w:after="0" w:line="276" w:lineRule="auto"/>
              <w:ind w:left="117"/>
              <w:jc w:val="center"/>
              <w:rPr>
                <w:rFonts w:ascii="Book Antiqua" w:eastAsia="Times New Roman" w:hAnsi="Book Antiqua" w:cs="Times New Roman"/>
                <w:b/>
                <w:color w:val="FFFFFF"/>
                <w:sz w:val="20"/>
                <w:szCs w:val="20"/>
              </w:rPr>
            </w:pPr>
            <w:r w:rsidRPr="00057923">
              <w:rPr>
                <w:rFonts w:ascii="Book Antiqua" w:eastAsia="Times New Roman" w:hAnsi="Book Antiqua" w:cs="Times New Roman"/>
                <w:b/>
                <w:color w:val="FFFFFF"/>
                <w:sz w:val="20"/>
                <w:szCs w:val="20"/>
              </w:rPr>
              <w:t>pre mužov/ženy po roku 2020</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Belgicko </w:t>
            </w:r>
            <w:r w:rsidRPr="00057923">
              <w:rPr>
                <w:rFonts w:ascii="Book Antiqua" w:eastAsia="Times New Roman" w:hAnsi="Book Antiqua" w:cs="Times New Roman"/>
                <w:i/>
                <w:sz w:val="20"/>
                <w:szCs w:val="20"/>
              </w:rPr>
              <w:t>1)</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67</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Bulharsko </w:t>
            </w:r>
            <w:r w:rsidRPr="00057923">
              <w:rPr>
                <w:rFonts w:ascii="Book Antiqua" w:eastAsia="Times New Roman" w:hAnsi="Book Antiqua" w:cs="Times New Roman"/>
                <w:i/>
                <w:sz w:val="20"/>
                <w:szCs w:val="20"/>
              </w:rPr>
              <w:t>2) LE</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64/61</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64r3m/61r6m</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Česká republika </w:t>
            </w:r>
            <w:r w:rsidRPr="00057923">
              <w:rPr>
                <w:rFonts w:ascii="Book Antiqua" w:eastAsia="Times New Roman" w:hAnsi="Book Antiqua" w:cs="Times New Roman"/>
                <w:i/>
                <w:sz w:val="20"/>
                <w:szCs w:val="20"/>
              </w:rPr>
              <w:t xml:space="preserve">3) </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63r2m/58r8m-62r8m</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63r8m/60r2m-63r8m</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Cyprus </w:t>
            </w:r>
            <w:r w:rsidRPr="00057923">
              <w:rPr>
                <w:rFonts w:ascii="Book Antiqua" w:eastAsia="Times New Roman" w:hAnsi="Book Antiqua" w:cs="Times New Roman"/>
                <w:i/>
                <w:sz w:val="20"/>
                <w:szCs w:val="20"/>
              </w:rPr>
              <w:t>4) LE</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Dánsko </w:t>
            </w:r>
            <w:r w:rsidRPr="00057923">
              <w:rPr>
                <w:rFonts w:ascii="Book Antiqua" w:eastAsia="Times New Roman" w:hAnsi="Book Antiqua" w:cs="Times New Roman"/>
                <w:i/>
                <w:sz w:val="20"/>
                <w:szCs w:val="20"/>
              </w:rPr>
              <w:t>5) LE</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66</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67+</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Estónsko </w:t>
            </w:r>
            <w:r w:rsidRPr="00057923">
              <w:rPr>
                <w:rFonts w:ascii="Book Antiqua" w:eastAsia="Times New Roman" w:hAnsi="Book Antiqua" w:cs="Times New Roman"/>
                <w:i/>
                <w:sz w:val="20"/>
                <w:szCs w:val="20"/>
              </w:rPr>
              <w:t>6)</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63r3m</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63r9m</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Fínsko </w:t>
            </w:r>
            <w:r w:rsidRPr="00057923">
              <w:rPr>
                <w:rFonts w:ascii="Book Antiqua" w:eastAsia="Times New Roman" w:hAnsi="Book Antiqua" w:cs="Times New Roman"/>
                <w:i/>
                <w:sz w:val="20"/>
                <w:szCs w:val="20"/>
              </w:rPr>
              <w:t>7) LE</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68; 63</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68r6m; 63r6m</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70; 65</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Francúzsko </w:t>
            </w:r>
            <w:r w:rsidRPr="00057923">
              <w:rPr>
                <w:rFonts w:ascii="Book Antiqua" w:eastAsia="Times New Roman" w:hAnsi="Book Antiqua" w:cs="Times New Roman"/>
                <w:i/>
                <w:sz w:val="20"/>
                <w:szCs w:val="20"/>
              </w:rPr>
              <w:t>8)</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62; 65r4m</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62; 66r2m</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color w:val="FF0000"/>
                <w:sz w:val="20"/>
                <w:szCs w:val="20"/>
              </w:rPr>
            </w:pPr>
            <w:r w:rsidRPr="00057923">
              <w:rPr>
                <w:rFonts w:ascii="Book Antiqua" w:eastAsia="Times New Roman" w:hAnsi="Book Antiqua" w:cs="Times New Roman"/>
                <w:sz w:val="20"/>
                <w:szCs w:val="20"/>
              </w:rPr>
              <w:t>62; 67</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Grécko </w:t>
            </w:r>
            <w:r w:rsidRPr="00057923">
              <w:rPr>
                <w:rFonts w:ascii="Book Antiqua" w:eastAsia="Times New Roman" w:hAnsi="Book Antiqua" w:cs="Times New Roman"/>
                <w:i/>
                <w:sz w:val="20"/>
                <w:szCs w:val="20"/>
              </w:rPr>
              <w:t>9)</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62; 67</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62; 67</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62+; 67+</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Holandsko </w:t>
            </w:r>
            <w:r w:rsidRPr="00057923">
              <w:rPr>
                <w:rFonts w:ascii="Book Antiqua" w:eastAsia="Times New Roman" w:hAnsi="Book Antiqua" w:cs="Times New Roman"/>
                <w:i/>
                <w:sz w:val="20"/>
                <w:szCs w:val="20"/>
              </w:rPr>
              <w:t>10) LE</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65r9m</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66r8m</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67+</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Chorvátsko </w:t>
            </w:r>
            <w:r w:rsidRPr="00057923">
              <w:rPr>
                <w:rFonts w:ascii="Book Antiqua" w:eastAsia="Times New Roman" w:hAnsi="Book Antiqua" w:cs="Times New Roman"/>
                <w:i/>
                <w:sz w:val="20"/>
                <w:szCs w:val="20"/>
              </w:rPr>
              <w:t>11)</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60; 65/60r; 61r9m</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60; 65/60r; 62r6m</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62; 67</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Írsko </w:t>
            </w:r>
            <w:r w:rsidRPr="00057923">
              <w:rPr>
                <w:rFonts w:ascii="Book Antiqua" w:eastAsia="Times New Roman" w:hAnsi="Book Antiqua" w:cs="Times New Roman"/>
                <w:i/>
                <w:sz w:val="20"/>
                <w:szCs w:val="20"/>
              </w:rPr>
              <w:t>12)</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66</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66</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68</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Litva </w:t>
            </w:r>
            <w:r w:rsidRPr="00057923">
              <w:rPr>
                <w:rFonts w:ascii="Book Antiqua" w:eastAsia="Times New Roman" w:hAnsi="Book Antiqua" w:cs="Times New Roman"/>
                <w:i/>
                <w:sz w:val="20"/>
                <w:szCs w:val="20"/>
              </w:rPr>
              <w:t>13)</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63r6m/62</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64/63</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Lotyšsko </w:t>
            </w:r>
            <w:r w:rsidRPr="00057923">
              <w:rPr>
                <w:rFonts w:ascii="Book Antiqua" w:eastAsia="Times New Roman" w:hAnsi="Book Antiqua" w:cs="Times New Roman"/>
                <w:i/>
                <w:sz w:val="20"/>
                <w:szCs w:val="20"/>
              </w:rPr>
              <w:t>14)</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63/63</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63r9m/63r9m</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65/65</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Luxembursko </w:t>
            </w:r>
            <w:r w:rsidRPr="00057923">
              <w:rPr>
                <w:rFonts w:ascii="Book Antiqua" w:eastAsia="Times New Roman" w:hAnsi="Book Antiqua" w:cs="Times New Roman"/>
                <w:i/>
                <w:sz w:val="20"/>
                <w:szCs w:val="20"/>
              </w:rPr>
              <w:t>15)</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57; 65</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57; 65</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57; 65</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Maďarsko </w:t>
            </w:r>
            <w:r w:rsidRPr="00057923">
              <w:rPr>
                <w:rFonts w:ascii="Book Antiqua" w:eastAsia="Times New Roman" w:hAnsi="Book Antiqua" w:cs="Times New Roman"/>
                <w:i/>
                <w:sz w:val="20"/>
                <w:szCs w:val="20"/>
              </w:rPr>
              <w:t>16)</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63r</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64</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Malta </w:t>
            </w:r>
            <w:r w:rsidRPr="00057923">
              <w:rPr>
                <w:rFonts w:ascii="Book Antiqua" w:eastAsia="Times New Roman" w:hAnsi="Book Antiqua" w:cs="Times New Roman"/>
                <w:i/>
                <w:sz w:val="20"/>
                <w:szCs w:val="20"/>
              </w:rPr>
              <w:t>17)</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62</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63</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Nemecko </w:t>
            </w:r>
            <w:r w:rsidRPr="00057923">
              <w:rPr>
                <w:rFonts w:ascii="Book Antiqua" w:eastAsia="Times New Roman" w:hAnsi="Book Antiqua" w:cs="Times New Roman"/>
                <w:i/>
                <w:sz w:val="20"/>
                <w:szCs w:val="20"/>
              </w:rPr>
              <w:t>18)</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63r4m; 65r6m</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63r10m; 65r9m</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 67</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Poľsko </w:t>
            </w:r>
            <w:r w:rsidRPr="00057923">
              <w:rPr>
                <w:rFonts w:ascii="Book Antiqua" w:eastAsia="Times New Roman" w:hAnsi="Book Antiqua" w:cs="Times New Roman"/>
                <w:i/>
                <w:sz w:val="20"/>
                <w:szCs w:val="20"/>
              </w:rPr>
              <w:t>19)</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66r1m/61r1m</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65/60</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65/60</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Portugalsko </w:t>
            </w:r>
            <w:r w:rsidRPr="00057923">
              <w:rPr>
                <w:rFonts w:ascii="Book Antiqua" w:eastAsia="Times New Roman" w:hAnsi="Book Antiqua" w:cs="Times New Roman"/>
                <w:i/>
                <w:sz w:val="20"/>
                <w:szCs w:val="20"/>
              </w:rPr>
              <w:t>20) LE</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w:t>
            </w:r>
            <w:r w:rsidRPr="00057923">
              <w:rPr>
                <w:rFonts w:ascii="Book Antiqua" w:eastAsia="Times New Roman" w:hAnsi="Book Antiqua" w:cs="Times New Roman"/>
                <w:sz w:val="20"/>
                <w:szCs w:val="20"/>
                <w:lang w:val="en-US"/>
              </w:rPr>
              <w:t xml:space="preserve">; </w:t>
            </w:r>
            <w:r w:rsidRPr="00057923">
              <w:rPr>
                <w:rFonts w:ascii="Book Antiqua" w:eastAsia="Times New Roman" w:hAnsi="Book Antiqua" w:cs="Times New Roman"/>
                <w:sz w:val="20"/>
                <w:szCs w:val="20"/>
              </w:rPr>
              <w:t>66r3m</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66+</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66+</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Rakúsko </w:t>
            </w:r>
            <w:r w:rsidRPr="00057923">
              <w:rPr>
                <w:rFonts w:ascii="Book Antiqua" w:eastAsia="Times New Roman" w:hAnsi="Book Antiqua" w:cs="Times New Roman"/>
                <w:i/>
                <w:sz w:val="20"/>
                <w:szCs w:val="20"/>
              </w:rPr>
              <w:t>21)</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65/60</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65/60</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65/65</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Rumunsko </w:t>
            </w:r>
            <w:r w:rsidRPr="00057923">
              <w:rPr>
                <w:rFonts w:ascii="Book Antiqua" w:eastAsia="Times New Roman" w:hAnsi="Book Antiqua" w:cs="Times New Roman"/>
                <w:i/>
                <w:sz w:val="20"/>
                <w:szCs w:val="20"/>
              </w:rPr>
              <w:t>22)</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65/60r6m</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65/61</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65/63</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Slovensko </w:t>
            </w:r>
            <w:r w:rsidRPr="00057923">
              <w:rPr>
                <w:rFonts w:ascii="Book Antiqua" w:eastAsia="Times New Roman" w:hAnsi="Book Antiqua" w:cs="Times New Roman"/>
                <w:i/>
                <w:sz w:val="20"/>
                <w:szCs w:val="20"/>
              </w:rPr>
              <w:t>23) LE</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62r76d/59r-62r76d</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62+</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62+</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Slovinsko </w:t>
            </w:r>
            <w:r w:rsidRPr="00057923">
              <w:rPr>
                <w:rFonts w:ascii="Book Antiqua" w:eastAsia="Times New Roman" w:hAnsi="Book Antiqua" w:cs="Times New Roman"/>
                <w:i/>
                <w:sz w:val="20"/>
                <w:szCs w:val="20"/>
              </w:rPr>
              <w:t>24)</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Španielsko </w:t>
            </w:r>
            <w:r w:rsidRPr="00057923">
              <w:rPr>
                <w:rFonts w:ascii="Book Antiqua" w:eastAsia="Times New Roman" w:hAnsi="Book Antiqua" w:cs="Times New Roman"/>
                <w:i/>
                <w:sz w:val="20"/>
                <w:szCs w:val="20"/>
              </w:rPr>
              <w:t>25)</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 65r5m</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 65r10m</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 67</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Švédsko </w:t>
            </w:r>
            <w:r w:rsidRPr="00057923">
              <w:rPr>
                <w:rFonts w:ascii="Book Antiqua" w:eastAsia="Times New Roman" w:hAnsi="Book Antiqua" w:cs="Times New Roman"/>
                <w:i/>
                <w:sz w:val="20"/>
                <w:szCs w:val="20"/>
              </w:rPr>
              <w:t>7)</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67; 61</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67; 61</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67; 61</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Taliansko </w:t>
            </w:r>
            <w:r w:rsidRPr="00057923">
              <w:rPr>
                <w:rFonts w:ascii="Book Antiqua" w:eastAsia="Times New Roman" w:hAnsi="Book Antiqua" w:cs="Times New Roman"/>
                <w:i/>
                <w:sz w:val="20"/>
                <w:szCs w:val="20"/>
              </w:rPr>
              <w:t>26) LE</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66r7m/65r7m</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67</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67+/67+</w:t>
            </w:r>
          </w:p>
        </w:tc>
      </w:tr>
      <w:tr w:rsidR="00057923" w:rsidRPr="00057923" w:rsidTr="00A62543">
        <w:trPr>
          <w:trHeight w:val="113"/>
          <w:jc w:val="center"/>
        </w:trPr>
        <w:tc>
          <w:tcPr>
            <w:tcW w:w="1057" w:type="pct"/>
            <w:vAlign w:val="center"/>
          </w:tcPr>
          <w:p w:rsidR="00057923" w:rsidRPr="00057923" w:rsidRDefault="00057923" w:rsidP="00057923">
            <w:pPr>
              <w:spacing w:after="0" w:line="276" w:lineRule="auto"/>
              <w:rPr>
                <w:rFonts w:ascii="Book Antiqua" w:eastAsia="Times New Roman" w:hAnsi="Book Antiqua" w:cs="Times New Roman"/>
                <w:sz w:val="20"/>
                <w:szCs w:val="20"/>
              </w:rPr>
            </w:pPr>
            <w:r w:rsidRPr="00057923">
              <w:rPr>
                <w:rFonts w:ascii="Book Antiqua" w:eastAsia="Times New Roman" w:hAnsi="Book Antiqua" w:cs="Times New Roman"/>
                <w:sz w:val="20"/>
                <w:szCs w:val="20"/>
              </w:rPr>
              <w:t xml:space="preserve">Veľká Británia </w:t>
            </w:r>
            <w:r w:rsidRPr="00057923">
              <w:rPr>
                <w:rFonts w:ascii="Book Antiqua" w:eastAsia="Times New Roman" w:hAnsi="Book Antiqua" w:cs="Times New Roman"/>
                <w:i/>
                <w:sz w:val="20"/>
                <w:szCs w:val="20"/>
              </w:rPr>
              <w:t>27) LE</w:t>
            </w:r>
          </w:p>
        </w:tc>
        <w:tc>
          <w:tcPr>
            <w:tcW w:w="1442"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65/63r5m</w:t>
            </w:r>
          </w:p>
        </w:tc>
        <w:tc>
          <w:tcPr>
            <w:tcW w:w="1448"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66</w:t>
            </w:r>
          </w:p>
        </w:tc>
        <w:tc>
          <w:tcPr>
            <w:tcW w:w="1053" w:type="pct"/>
            <w:noWrap/>
            <w:vAlign w:val="center"/>
          </w:tcPr>
          <w:p w:rsidR="00057923" w:rsidRPr="00057923" w:rsidRDefault="00057923" w:rsidP="00057923">
            <w:pPr>
              <w:spacing w:after="0" w:line="276" w:lineRule="auto"/>
              <w:jc w:val="center"/>
              <w:rPr>
                <w:rFonts w:ascii="Book Antiqua" w:eastAsia="Times New Roman" w:hAnsi="Book Antiqua" w:cs="Times New Roman"/>
                <w:sz w:val="20"/>
                <w:szCs w:val="20"/>
              </w:rPr>
            </w:pPr>
            <w:r w:rsidRPr="00057923">
              <w:rPr>
                <w:rFonts w:ascii="Book Antiqua" w:eastAsia="Times New Roman" w:hAnsi="Book Antiqua" w:cs="Times New Roman"/>
                <w:sz w:val="20"/>
                <w:szCs w:val="20"/>
              </w:rPr>
              <w:t>68</w:t>
            </w:r>
          </w:p>
        </w:tc>
      </w:tr>
    </w:tbl>
    <w:p w:rsidR="00057923" w:rsidRPr="00057923" w:rsidRDefault="00057923" w:rsidP="00057923">
      <w:pPr>
        <w:spacing w:after="200" w:line="276" w:lineRule="auto"/>
        <w:jc w:val="both"/>
        <w:rPr>
          <w:rFonts w:ascii="Book Antiqua" w:eastAsia="Times New Roman" w:hAnsi="Book Antiqua" w:cs="Times New Roman"/>
          <w:sz w:val="18"/>
          <w:szCs w:val="20"/>
        </w:rPr>
      </w:pPr>
      <w:r w:rsidRPr="00057923">
        <w:rPr>
          <w:rFonts w:ascii="Book Antiqua" w:eastAsia="Times New Roman" w:hAnsi="Book Antiqua" w:cs="Times New Roman"/>
          <w:sz w:val="20"/>
          <w:szCs w:val="20"/>
        </w:rPr>
        <w:t xml:space="preserve">   </w:t>
      </w:r>
      <w:r w:rsidRPr="00057923">
        <w:rPr>
          <w:rFonts w:ascii="Book Antiqua" w:eastAsia="Times New Roman" w:hAnsi="Book Antiqua" w:cs="Times New Roman"/>
          <w:sz w:val="18"/>
          <w:szCs w:val="20"/>
        </w:rPr>
        <w:t xml:space="preserve">Pozn.: Dôchodkový vek u žien sa uvádza iba v prípade, ak je rozdielny/diferencovaný od mužov.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Dôchodkový vek u osôb s neúplnou kariérou predlžovaný na 66 rokov v roku 2025 a 67 rokov v roku 2030. Možnosť odchodu do plného dôchodku po odpracovaní 45 rokov.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Dôchodkový vek u mužov je zvyšovaný o 2 mesiace v rokoch 2016 a 2017, potom o 1 mesiac ročne až na hodnotu 65 rokov v roku 2037. U žien je dôchodkový vek zvyšovaný o 2 mesiace ročne až do roku 2029 a následne o 3 mesiace ročne až na hodnotu 65 rokov v roku 2037. Následne od roku 2037 bude dôchodkový vek predlžovaný v súlade s rastom očakávanej dĺžky dožitia.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Dôchodkový vek je zvyšovaný podľa ročníku narodenia o 2 mesiace ročne pre mužov a o 4, resp. 6 mesiacov pre ženy (od roku 2018) v závislosti od počtu vychovaných detí. V súčasnosti je v ČR zavedený strop pri predlžovaní dôchodkového veku na úrovni 65 rokov. V budúcnosti sa bude predlžovanie dôchodkového veku pravidelne analyzovať a prehodnocovať, vzhľadom na vývoj strednej dĺžky života. Nie je preto vylúčené ani ďalšie predlžovanie dôchodkového veku.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Od roku 2020 sa zavádza automatická úprava dôchodkového veku v závislosti od zmeny v priemernej strednej dĺžke života v dôchodkovom veku.</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lastRenderedPageBreak/>
        <w:t xml:space="preserve">V období rokov 2019 až 2022 bude dôchodkový vek zvýšený o 6 mesiacov ročne rovnako pre univerzálnu schému aj príspevkovo definovanú schému (ATP) zo 65 rokov na 67 rokov. Po roku 2030 bude dôchodkový vek predlžovaný v súlade s rastom očakávanej dĺžky dožitia.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Pre ženy bude dôchodkový vek postupne predlžovaný až na jednotnú úroveň 63 rokov do roku 2016. Od roku 2017 do roku 2026 bude dôchodkový vek pre mužov aj ženy zvyšovaný až na úroveň 65 rokov.</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Vo Fínsku nárok na národný dôchodok vo veku 68 rokov a dôchodok v závislosti od zárobkov (</w:t>
      </w:r>
      <w:proofErr w:type="spellStart"/>
      <w:r w:rsidRPr="00057923">
        <w:rPr>
          <w:rFonts w:ascii="Book Antiqua" w:eastAsia="Times New Roman" w:hAnsi="Book Antiqua" w:cs="Times New Roman"/>
          <w:sz w:val="18"/>
          <w:szCs w:val="20"/>
        </w:rPr>
        <w:t>earnings-related</w:t>
      </w:r>
      <w:proofErr w:type="spellEnd"/>
      <w:r w:rsidRPr="00057923">
        <w:rPr>
          <w:rFonts w:ascii="Book Antiqua" w:eastAsia="Times New Roman" w:hAnsi="Book Antiqua" w:cs="Times New Roman"/>
          <w:sz w:val="18"/>
          <w:szCs w:val="20"/>
        </w:rPr>
        <w:t xml:space="preserve"> </w:t>
      </w:r>
      <w:proofErr w:type="spellStart"/>
      <w:r w:rsidRPr="00057923">
        <w:rPr>
          <w:rFonts w:ascii="Book Antiqua" w:eastAsia="Times New Roman" w:hAnsi="Book Antiqua" w:cs="Times New Roman"/>
          <w:sz w:val="18"/>
          <w:szCs w:val="20"/>
        </w:rPr>
        <w:t>pension</w:t>
      </w:r>
      <w:proofErr w:type="spellEnd"/>
      <w:r w:rsidRPr="00057923">
        <w:rPr>
          <w:rFonts w:ascii="Book Antiqua" w:eastAsia="Times New Roman" w:hAnsi="Book Antiqua" w:cs="Times New Roman"/>
          <w:sz w:val="18"/>
          <w:szCs w:val="20"/>
        </w:rPr>
        <w:t>) od veku 63 rokov. Vo Švédsku nárok na garantovaný dôchodok vo veku 67 rokov a dôchodok v závislosti od zárobkov (</w:t>
      </w:r>
      <w:proofErr w:type="spellStart"/>
      <w:r w:rsidRPr="00057923">
        <w:rPr>
          <w:rFonts w:ascii="Book Antiqua" w:eastAsia="Times New Roman" w:hAnsi="Book Antiqua" w:cs="Times New Roman"/>
          <w:sz w:val="18"/>
          <w:szCs w:val="20"/>
        </w:rPr>
        <w:t>earnings-related</w:t>
      </w:r>
      <w:proofErr w:type="spellEnd"/>
      <w:r w:rsidRPr="00057923">
        <w:rPr>
          <w:rFonts w:ascii="Book Antiqua" w:eastAsia="Times New Roman" w:hAnsi="Book Antiqua" w:cs="Times New Roman"/>
          <w:sz w:val="18"/>
          <w:szCs w:val="20"/>
        </w:rPr>
        <w:t xml:space="preserve"> </w:t>
      </w:r>
      <w:proofErr w:type="spellStart"/>
      <w:r w:rsidRPr="00057923">
        <w:rPr>
          <w:rFonts w:ascii="Book Antiqua" w:eastAsia="Times New Roman" w:hAnsi="Book Antiqua" w:cs="Times New Roman"/>
          <w:sz w:val="18"/>
          <w:szCs w:val="20"/>
        </w:rPr>
        <w:t>pension</w:t>
      </w:r>
      <w:proofErr w:type="spellEnd"/>
      <w:r w:rsidRPr="00057923">
        <w:rPr>
          <w:rFonts w:ascii="Book Antiqua" w:eastAsia="Times New Roman" w:hAnsi="Book Antiqua" w:cs="Times New Roman"/>
          <w:sz w:val="18"/>
          <w:szCs w:val="20"/>
        </w:rPr>
        <w:t xml:space="preserve">) od veku 61 rokov.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Dôchodkový vek bude predlžovaný na hodnotu 62 rokov do roku 2018 pre osoby, ktoré získali najmenej 41,5 roka dôchodkového poistenia a pri kratšom období k nároku na plný a nekrátený dôchodok bude v období rokov 2017 až 2022 zvýšený na 67 rokov - plne sa dotkne osôb narodených v a po roku 1955.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Dôchodkový vek bol s účinnosťou od 1. januára 2013 ustanovený na 62 rokov v prípade získania najmenej 40 rokov dôchodkového poistenia a 67 rokov pri kratšom období.  Od 1. januára 2021 budú obidva dôchodkové veky zvyšované v súlade s rastom očakávanej dĺžky dožitia.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Dôchodkový vek je s účinnosťou od roku 2013 zvyšovaný o 1 mesiac ročne na úroveň 65 rokov a 3 mesiace v roku 2015, následne o 2 mesiace ročne až na úroveň 66 rokov v roku 2019, ďalej o 3 mesiace ročne na úroveň 67 rokov v roku 2023. Od roku 2024 bude dôchodkový vek predlžovaný v súlade s rastom očakávanej dĺžky dožitia.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S účinnosťou od 1. novembra 2010 je dôchodkový vek žien zvyšovaný o 3 mesiace ročne až na cieľovú úroveň 65 rokov v roku 2030. Od roku 2031 bude predlžovanie dôchodkového veku pokračovať o 3 mesiace ročne pre mužov aj ženy, pričom v roku 2038 dosiahnu cieľovú úroveň 67 rokov. Osoby môžu odísť do predčasného nekráteného dôchodku, ak získali najmenej 41 rokov dôchodkového poistenia a vek najmenej 5 rokov pred dovŕšením dôchodkového veku.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Dôchodkový vek bol predĺžený na 66 rokov do roku 2014, bude zvýšený na 67 rokov do roku 2021 a na 68 rokov do roku 2028.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Dôchodkový vek bude predlžovaný v období rokov 2012 až 2026 o 2 mesiace ročne pre mužov a o 4 mesiace ročne pre ženy až na cieľovú úroveň 65 rokov v roku 2026.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Dôchodkový vek je zvyšovaný o 3 mesiace ročne až na cieľovú hodnotu 65 rokov v roku 2025.</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Možnosť odchodu do plného dôchodku vo veku 57 rokov, ak osoba získala prispievaním do systému najmenej 40 rokov dôchodkového poistenia.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Dôchodkový vek je v období rokov 2014 až 2022 postupne zvyšovaný podľa dátumu narodenia o 6 mesiacov ročne na 65 rokov, pričom predĺženie dôchodkového veku sa dotkne poistencov narodených v a po roku 1952.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Postupné predlžovanie dôchodkového veku podľa dátumu narodenia - osoby narodené od 1952 do 1955 vek 62 rokov, osoby narodené od 1956 do 1958 vek 63 rokov, osoby narodené od 1959 do 1961 vek 64 rokov a osoby narodené v a po 1. 1. 1962 vek 65 rokov. Predĺženie bude ukončené v roku 2027.</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Dôchodkový vek bude predlžovaný na hodnotu 65 rokov do roku 2029 pre osoby, ktoré získali najmenej 45 roka dôchodkového poistenia a pri kratšom období k nároku na plný a nekrátený dôchodok bude v období rokov 2012 až 2029 zvýšený na 67 rokov v dvoch etapách, pričom v prvej fáze zo 65 na 66 o 1 mesiac ročne a v druhej fáze zo 66 na 67 rokov o 2 mesiace ročne.</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Reforma dôchodkového systému a zníženie dôchodkového veku na 65 rokov pre mužov a 60 rokov pre ženy.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Od roku 2016 sa zavádza automatická úprava dôchodkového veku v závislosti od zmeny v priemernej strednej dĺžke života vo veku 65 rokov.</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V období rokov 2024 až 2033 bude dôchodkový vek žien zvýšený o 6 mesiacov ročne na 65 rokov.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Dôchodkový vek u mužov aj žien je zvyšovaný o 3 mesiace ročne až na cieľovú hodnotu 65 rokov u mužov, ktorú dosiahnu v roku 2015 a na 63 rokov u žien, ktorú dosiahnu v roku 2030.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S účinnosťou od 1. januára 2017 sa zavádza automatická úprava dôchodkového veku v závislosti od zmeny v priemernej strednej dĺžke života v dôchodkovom veku. Do 31. decembra 2023 sa uplatňuje prechodne nižší dôchodkový vek pre ženy, ktorých sa týkajú prechodné ustanovenia z predošlého zvyšovania dôchodkového veku.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lastRenderedPageBreak/>
        <w:t xml:space="preserve">Dôchodkový vek zvýšený pre mužov aj ženy na hodnotu 65 rokov. V prechodnom období do konca roku 2019 je možné si uplatniť nižší dôchodkový vek napr. za výchovu detí, povinnú službu v armáde a získanie poistenia pred 18 rokom veku.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V období rokov 2013 až 2027 bude dôchodkový vek zvýšený na 67 rokov u mužov aj žien s prírastkom o 1 mesiac ročne do roku 2018 a o 2 mesiace ročne od roku 2019. Možnosť odchodu do dôchodku s plnou sumou vo veku 65 rokov, ak osoba získala najmenej 38,5 roka dôchodkového poistenia.  </w:t>
      </w:r>
    </w:p>
    <w:p w:rsidR="00057923" w:rsidRPr="00057923" w:rsidRDefault="00057923" w:rsidP="00057923">
      <w:pPr>
        <w:numPr>
          <w:ilvl w:val="0"/>
          <w:numId w:val="16"/>
        </w:numPr>
        <w:spacing w:after="120" w:line="240" w:lineRule="auto"/>
        <w:ind w:left="714" w:hanging="357"/>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Dôchodkový vek žien v súkromnom sektore je zjednocovaný s mužmi na hodnotu 66 rokov a 7 mesiacov, pričom ju dosiahnu v roku 2018. Prvé predlžovanie na základe zmien v očakávanej dĺžke dožitia sa uskutočnilo v roku 2013, ďalšie je plánované v roku 2016 a 2019 a potom pravidelne každé dva roky. Dôchodkový vek bude najmenej 67 rokov v roku 2021. </w:t>
      </w:r>
    </w:p>
    <w:p w:rsidR="00057923" w:rsidRPr="00057923" w:rsidRDefault="00057923" w:rsidP="00057923">
      <w:pPr>
        <w:numPr>
          <w:ilvl w:val="0"/>
          <w:numId w:val="16"/>
        </w:numPr>
        <w:spacing w:after="120" w:line="240" w:lineRule="auto"/>
        <w:jc w:val="both"/>
        <w:rPr>
          <w:rFonts w:ascii="Book Antiqua" w:eastAsia="Times New Roman" w:hAnsi="Book Antiqua" w:cs="Times New Roman"/>
          <w:sz w:val="18"/>
          <w:szCs w:val="20"/>
        </w:rPr>
      </w:pPr>
      <w:r w:rsidRPr="00057923">
        <w:rPr>
          <w:rFonts w:ascii="Book Antiqua" w:eastAsia="Times New Roman" w:hAnsi="Book Antiqua" w:cs="Times New Roman"/>
          <w:sz w:val="18"/>
          <w:szCs w:val="20"/>
        </w:rPr>
        <w:t xml:space="preserve">Dôchodkový vek žien je zjednocovaný s mužmi na hodnotu 65 rokov, ktorú dosiahnu v roku 2018. V období rokov 2018 až 2020 dôjde k zvýšeniu na 66 rokov u mužov a žien.  Ďalšie jednotné predĺženie na 68 rokov bude v období rokov 2034 a 2046, pričom bude rozdelené do dvoch etáp (prvá fáza v rokoch 2034 až 2036 na 67 rokov a druhá fáza v rokoch 2044 až 2046  na 68 rokov).        </w:t>
      </w:r>
    </w:p>
    <w:p w:rsidR="00057923" w:rsidRPr="00057923" w:rsidRDefault="00057923" w:rsidP="00057923">
      <w:pPr>
        <w:spacing w:after="200" w:line="276" w:lineRule="auto"/>
        <w:jc w:val="both"/>
        <w:rPr>
          <w:rFonts w:ascii="Book Antiqua" w:eastAsia="Times New Roman" w:hAnsi="Book Antiqua" w:cs="Times New Roman"/>
          <w:sz w:val="18"/>
          <w:szCs w:val="20"/>
        </w:rPr>
      </w:pPr>
      <w:r w:rsidRPr="00057923">
        <w:rPr>
          <w:rFonts w:ascii="Book Antiqua" w:eastAsia="Times New Roman" w:hAnsi="Book Antiqua" w:cs="Times New Roman"/>
          <w:sz w:val="18"/>
          <w:szCs w:val="18"/>
        </w:rPr>
        <w:t xml:space="preserve">Pozn. autora: Prehľad abstrahuje od možnosti odísť do predčasného kráteného dôchodku, od špecifických úprav pre tzv. kategórie patriace pod zdraviu škodlivé pracovné podmienky a osobitných dôchodkových režimov. </w:t>
      </w:r>
    </w:p>
    <w:p w:rsidR="00057923" w:rsidRPr="00057923" w:rsidRDefault="00057923" w:rsidP="00057923">
      <w:pPr>
        <w:spacing w:after="20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Zdroj: Správa o primeranosti dôchodkov 2018: Súčasná a budúca primeranosť príjmu v starobe v EÚ (</w:t>
      </w:r>
      <w:r w:rsidRPr="00057923">
        <w:rPr>
          <w:rFonts w:ascii="Book Antiqua" w:eastAsia="Times New Roman" w:hAnsi="Book Antiqua" w:cs="Times New Roman"/>
          <w:i/>
          <w:sz w:val="20"/>
          <w:szCs w:val="20"/>
          <w:lang w:val="en-US"/>
        </w:rPr>
        <w:t>Pension Adequacy Report 2018: The Current and Future Income Adequacy in Old Age in the EU</w:t>
      </w:r>
      <w:r w:rsidRPr="00057923">
        <w:rPr>
          <w:rFonts w:ascii="Book Antiqua" w:eastAsia="Times New Roman" w:hAnsi="Book Antiqua" w:cs="Times New Roman"/>
          <w:i/>
          <w:sz w:val="20"/>
          <w:szCs w:val="20"/>
        </w:rPr>
        <w:t>); Správa o starnutí 2018: Hospodárske a rozpočtové projekcie pre EÚ-28 na roky 2016 až 2070 (</w:t>
      </w:r>
      <w:r w:rsidRPr="00057923">
        <w:rPr>
          <w:rFonts w:ascii="Book Antiqua" w:eastAsia="Times New Roman" w:hAnsi="Book Antiqua" w:cs="Times New Roman"/>
          <w:i/>
          <w:sz w:val="20"/>
          <w:szCs w:val="20"/>
          <w:lang w:val="en-US"/>
        </w:rPr>
        <w:t>The 2018 Ageing Report: Economic and Budgetary Projections for the EU28 Member States /2016-2070/</w:t>
      </w:r>
      <w:r w:rsidRPr="00057923">
        <w:rPr>
          <w:rFonts w:ascii="Book Antiqua" w:eastAsia="Times New Roman" w:hAnsi="Book Antiqua" w:cs="Times New Roman"/>
          <w:i/>
          <w:sz w:val="20"/>
          <w:szCs w:val="20"/>
        </w:rPr>
        <w:t xml:space="preserve">); </w:t>
      </w:r>
      <w:proofErr w:type="spellStart"/>
      <w:r w:rsidRPr="00057923">
        <w:rPr>
          <w:rFonts w:ascii="Book Antiqua" w:eastAsia="Times New Roman" w:hAnsi="Book Antiqua" w:cs="Times New Roman"/>
          <w:i/>
          <w:sz w:val="20"/>
          <w:szCs w:val="20"/>
        </w:rPr>
        <w:t>Pension</w:t>
      </w:r>
      <w:proofErr w:type="spellEnd"/>
      <w:r w:rsidRPr="00057923">
        <w:rPr>
          <w:rFonts w:ascii="Book Antiqua" w:eastAsia="Times New Roman" w:hAnsi="Book Antiqua" w:cs="Times New Roman"/>
          <w:i/>
          <w:sz w:val="20"/>
          <w:szCs w:val="20"/>
        </w:rPr>
        <w:t xml:space="preserve"> at </w:t>
      </w:r>
      <w:proofErr w:type="spellStart"/>
      <w:r w:rsidRPr="00057923">
        <w:rPr>
          <w:rFonts w:ascii="Book Antiqua" w:eastAsia="Times New Roman" w:hAnsi="Book Antiqua" w:cs="Times New Roman"/>
          <w:i/>
          <w:sz w:val="20"/>
          <w:szCs w:val="20"/>
        </w:rPr>
        <w:t>Glance</w:t>
      </w:r>
      <w:proofErr w:type="spellEnd"/>
      <w:r w:rsidRPr="00057923">
        <w:rPr>
          <w:rFonts w:ascii="Book Antiqua" w:eastAsia="Times New Roman" w:hAnsi="Book Antiqua" w:cs="Times New Roman"/>
          <w:i/>
          <w:sz w:val="20"/>
          <w:szCs w:val="20"/>
        </w:rPr>
        <w:t xml:space="preserve"> 2017 (OECD) a databáza MISSOC (január 2018).</w:t>
      </w:r>
    </w:p>
    <w:p w:rsidR="00057923" w:rsidRPr="00057923" w:rsidRDefault="00057923" w:rsidP="00057923">
      <w:pPr>
        <w:spacing w:after="200" w:line="276" w:lineRule="auto"/>
        <w:jc w:val="both"/>
        <w:rPr>
          <w:rFonts w:ascii="Book Antiqua" w:eastAsia="Times New Roman" w:hAnsi="Book Antiqua" w:cs="Times New Roman"/>
          <w:i/>
          <w:sz w:val="20"/>
          <w:szCs w:val="20"/>
        </w:rPr>
      </w:pPr>
    </w:p>
    <w:tbl>
      <w:tblPr>
        <w:tblW w:w="9140" w:type="dxa"/>
        <w:tblInd w:w="55" w:type="dxa"/>
        <w:tblCellMar>
          <w:left w:w="70" w:type="dxa"/>
          <w:right w:w="70" w:type="dxa"/>
        </w:tblCellMar>
        <w:tblLook w:val="04A0" w:firstRow="1" w:lastRow="0" w:firstColumn="1" w:lastColumn="0" w:noHBand="0" w:noVBand="1"/>
      </w:tblPr>
      <w:tblGrid>
        <w:gridCol w:w="1420"/>
        <w:gridCol w:w="3860"/>
        <w:gridCol w:w="3860"/>
      </w:tblGrid>
      <w:tr w:rsidR="00057923" w:rsidRPr="00057923" w:rsidTr="00A62543">
        <w:trPr>
          <w:trHeight w:val="270"/>
        </w:trPr>
        <w:tc>
          <w:tcPr>
            <w:tcW w:w="9140" w:type="dxa"/>
            <w:gridSpan w:val="3"/>
            <w:tcBorders>
              <w:top w:val="nil"/>
              <w:left w:val="nil"/>
              <w:bottom w:val="nil"/>
              <w:right w:val="nil"/>
            </w:tcBorders>
            <w:noWrap/>
            <w:vAlign w:val="bottom"/>
            <w:hideMark/>
          </w:tcPr>
          <w:p w:rsidR="00057923" w:rsidRPr="00057923" w:rsidRDefault="00057923" w:rsidP="00057923">
            <w:pPr>
              <w:spacing w:after="200" w:line="276" w:lineRule="auto"/>
              <w:rPr>
                <w:rFonts w:ascii="Book Antiqua" w:eastAsia="Times New Roman" w:hAnsi="Book Antiqua" w:cs="Times New Roman"/>
                <w:i/>
              </w:rPr>
            </w:pPr>
            <w:r w:rsidRPr="00057923">
              <w:rPr>
                <w:rFonts w:ascii="Book Antiqua" w:eastAsia="Times New Roman" w:hAnsi="Book Antiqua" w:cs="Times New Roman"/>
                <w:b/>
                <w:i/>
              </w:rPr>
              <w:t>Tabuľka 2:</w:t>
            </w:r>
            <w:r w:rsidRPr="00057923">
              <w:rPr>
                <w:rFonts w:ascii="Book Antiqua" w:eastAsia="Times New Roman" w:hAnsi="Book Antiqua" w:cs="Times New Roman"/>
                <w:i/>
              </w:rPr>
              <w:t xml:space="preserve"> Minimálne obdobie dôchodkového poistenia v krajinách Európskej únie</w:t>
            </w:r>
          </w:p>
        </w:tc>
      </w:tr>
      <w:tr w:rsidR="00057923" w:rsidRPr="00057923" w:rsidTr="00A62543">
        <w:trPr>
          <w:trHeight w:val="717"/>
        </w:trPr>
        <w:tc>
          <w:tcPr>
            <w:tcW w:w="1420" w:type="dxa"/>
            <w:tcBorders>
              <w:top w:val="single" w:sz="8" w:space="0" w:color="auto"/>
              <w:left w:val="single" w:sz="8" w:space="0" w:color="auto"/>
              <w:bottom w:val="single" w:sz="4" w:space="0" w:color="auto"/>
              <w:right w:val="single" w:sz="4" w:space="0" w:color="auto"/>
            </w:tcBorders>
            <w:shd w:val="clear" w:color="000000" w:fill="969696"/>
            <w:vAlign w:val="center"/>
            <w:hideMark/>
          </w:tcPr>
          <w:p w:rsidR="00057923" w:rsidRPr="00057923" w:rsidRDefault="00057923" w:rsidP="00057923">
            <w:pPr>
              <w:spacing w:after="0" w:line="240" w:lineRule="auto"/>
              <w:rPr>
                <w:rFonts w:ascii="Book Antiqua" w:eastAsia="Times New Roman" w:hAnsi="Book Antiqua" w:cs="Arial"/>
                <w:b/>
                <w:bCs/>
                <w:color w:val="FFFFFF"/>
                <w:sz w:val="20"/>
                <w:szCs w:val="20"/>
                <w:lang w:eastAsia="sk-SK"/>
              </w:rPr>
            </w:pPr>
            <w:r w:rsidRPr="00057923">
              <w:rPr>
                <w:rFonts w:ascii="Book Antiqua" w:eastAsia="Times New Roman" w:hAnsi="Book Antiqua" w:cs="Arial"/>
                <w:b/>
                <w:bCs/>
                <w:color w:val="FFFFFF"/>
                <w:sz w:val="20"/>
                <w:szCs w:val="20"/>
                <w:lang w:eastAsia="sk-SK"/>
              </w:rPr>
              <w:t>Štát</w:t>
            </w:r>
          </w:p>
        </w:tc>
        <w:tc>
          <w:tcPr>
            <w:tcW w:w="3860" w:type="dxa"/>
            <w:tcBorders>
              <w:top w:val="single" w:sz="8" w:space="0" w:color="auto"/>
              <w:left w:val="nil"/>
              <w:bottom w:val="single" w:sz="4" w:space="0" w:color="auto"/>
              <w:right w:val="single" w:sz="4" w:space="0" w:color="auto"/>
            </w:tcBorders>
            <w:shd w:val="clear" w:color="000000" w:fill="969696"/>
            <w:vAlign w:val="center"/>
            <w:hideMark/>
          </w:tcPr>
          <w:p w:rsidR="00057923" w:rsidRPr="00057923" w:rsidRDefault="00057923" w:rsidP="00057923">
            <w:pPr>
              <w:spacing w:after="0" w:line="240" w:lineRule="auto"/>
              <w:jc w:val="center"/>
              <w:rPr>
                <w:rFonts w:ascii="Book Antiqua" w:eastAsia="Times New Roman" w:hAnsi="Book Antiqua" w:cs="Arial"/>
                <w:b/>
                <w:bCs/>
                <w:color w:val="FFFFFF"/>
                <w:sz w:val="20"/>
                <w:szCs w:val="20"/>
                <w:lang w:eastAsia="sk-SK"/>
              </w:rPr>
            </w:pPr>
            <w:r w:rsidRPr="00057923">
              <w:rPr>
                <w:rFonts w:ascii="Book Antiqua" w:eastAsia="Times New Roman" w:hAnsi="Book Antiqua" w:cs="Arial"/>
                <w:b/>
                <w:bCs/>
                <w:color w:val="FFFFFF"/>
                <w:sz w:val="20"/>
                <w:szCs w:val="20"/>
                <w:lang w:eastAsia="sk-SK"/>
              </w:rPr>
              <w:t>Minimálne obdobie poistenia požadované v roku 2017</w:t>
            </w:r>
          </w:p>
        </w:tc>
        <w:tc>
          <w:tcPr>
            <w:tcW w:w="3860" w:type="dxa"/>
            <w:tcBorders>
              <w:top w:val="single" w:sz="8" w:space="0" w:color="auto"/>
              <w:left w:val="nil"/>
              <w:bottom w:val="single" w:sz="4" w:space="0" w:color="auto"/>
              <w:right w:val="single" w:sz="8" w:space="0" w:color="auto"/>
            </w:tcBorders>
            <w:shd w:val="clear" w:color="000000" w:fill="969696"/>
            <w:vAlign w:val="center"/>
            <w:hideMark/>
          </w:tcPr>
          <w:p w:rsidR="00057923" w:rsidRPr="00057923" w:rsidRDefault="00057923" w:rsidP="00057923">
            <w:pPr>
              <w:spacing w:after="0" w:line="240" w:lineRule="auto"/>
              <w:jc w:val="center"/>
              <w:rPr>
                <w:rFonts w:ascii="Book Antiqua" w:eastAsia="Times New Roman" w:hAnsi="Book Antiqua" w:cs="Arial"/>
                <w:b/>
                <w:bCs/>
                <w:color w:val="FFFFFF"/>
                <w:sz w:val="20"/>
                <w:szCs w:val="20"/>
                <w:lang w:eastAsia="sk-SK"/>
              </w:rPr>
            </w:pPr>
            <w:r w:rsidRPr="00057923">
              <w:rPr>
                <w:rFonts w:ascii="Book Antiqua" w:eastAsia="Times New Roman" w:hAnsi="Book Antiqua" w:cs="Arial"/>
                <w:b/>
                <w:bCs/>
                <w:color w:val="FFFFFF"/>
                <w:sz w:val="20"/>
                <w:szCs w:val="20"/>
                <w:lang w:eastAsia="sk-SK"/>
              </w:rPr>
              <w:t>Minimálne obdobie poistenia potrebné k nároku na plný dôchodok</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Belgicko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nie je ustanovené žiadne minimálne obdobie</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45 rokov poistenia</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Bulharsko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 rokov poistenia</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38 rokov a 4 mesiace poistenia u mužov, pričom bude postupne zvýšené na 40 rokov do roku 2020; 36 rokov a 4 mesiace poistenia u žien a bude postupne zvýšené na 37 rokov do roku 2020</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Cyprus</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 rokov poistenia</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x</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Česká republika</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33 rokov dôchodkového poistenia, pričom požadovaný počet rokov sa bude každoročne zvyšovať o 1 rok až na cieľový stav 35 rokov dôchodkového poistenia do roku 2019; možnosť odchodu do starobného dôchodku s najmenej 20 rokmi dôchodkového poistenia, ak osoba dosiahla o 5 rokov vyšší vek ako je zákonom stanovený dôchodkový vek</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x</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Dánsko *</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 roky trvalého pobytu v Dánsku medzi 15 a 65 rokom veku; pre osoby, ktoré nie sú občanmi - 10 rokov trvalého pobytu v Dánsku medzi 15 a 65 rokom veku (5 rokov pred dovŕšením dôchodkového veku)</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40 rokov trvalého pobytu v Dánsku medzi 15 a 65 rokom veku</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Estónsko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 rokov poistenia</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x</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lastRenderedPageBreak/>
              <w:t>Fínsko *</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 roky trvalého pobytu vo Fínsku po dovŕšení 16 roka veku</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x</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Francúzsko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štvrťroka</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41,5 roka poistenia, pričom sa bude postupne predlžovať až na cieľovú úroveň 43 rokov pre rok 2035 a od ročníka 1972</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Grécko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 rokov poistenia</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40 rokov poistenia</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Holandsko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nie je ustanovené žiadne minimálne obdobie trvalého pobytu</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50 rokov trvalého pobytu (zodpovedá dôchodku z I. piliera na úrovni 100% minimálnej mzdy)</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Chorvátsko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 rokov poistenia</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x</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Írsko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10 rokov poistenia</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priemerný ročný počet týždenných zaplatených alebo uznaných príspevkov musí byť najmenej 48 počas celej pracovnej kariéry</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Litva</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 rokov poistenia</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30 rokov poistenia</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Lotyšsko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 rokov poistenia a od roku 2025 bude predlžené na 20 rokov</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x</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Luxembursko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10 rokov poistenia</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40 rokov poistenia</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Maďarsko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 rokov na „čiastočný dôchodok“ bez nároku na garantované minimum a najmenej 20 rokov na „plný dôchodok“, na ktorý sa vzťahuje aj garantované minimum</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x</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Malta</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10 rokov zamestnania alebo výkonu SZČO, pričom priemerný ročný počet týždenných zaplatených alebo uznaných príspevkov musí byť najmenej 15 od roku 1956, 1965 alebo od 19 rokov veku</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priemerný ročný počet týždenných zaplatených alebo uznaných príspevkov musí byť najmenej 50 od roku 1956, 1965 alebo od 19 rokov veku</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Nemecko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5 rokov poistenia</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x</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Poľsko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25 rokov dôchodkového poistenia a pre ženy 20 rokov s nárokom na garantované minimum.</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x</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Portugalsko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 rokov poistenia, pričom sa berie do úvahy iba ten rok poistenia, kde bolo poistné zaplatené aspoň 120 dní</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40 rokov poistenia</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Rakúsko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 rokov poistenia z posledných 30 rokov alebo 25 rokov poistenia počas celého života - najmenej 7 rokov musí byť získaných zo zamestnania</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45 rokov poistenia</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Rumunsko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 rokov poistenia</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35 poistenia u mužov, ; 30 rokov a 6 mesiacov poistenia u žien a bude postupne zvýšené na jednotných 35 rokov do roku 2030</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Slovensko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 rokov poistenia</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x</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Slovinsko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 rokov poistenia</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40 rokov poistenia bez náhradných dôb</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Španielsko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15 rokov poistenia, pričom najmenej 2 roky musia byť z posledných 15 rokov pred dovŕšením dôchodkového veku</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35 rokov a 6 mesiacov poistenia, pričom bude postupne zvýšené na 37 rokov do roku 2027</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Švédsko *</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 roky trvalého pobytu vo Švédsku</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40 rokov trvalého pobytu vo Švédsku</w:t>
            </w:r>
          </w:p>
        </w:tc>
      </w:tr>
      <w:tr w:rsidR="00057923" w:rsidRPr="00057923" w:rsidTr="00A62543">
        <w:trPr>
          <w:trHeight w:val="284"/>
        </w:trPr>
        <w:tc>
          <w:tcPr>
            <w:tcW w:w="1420" w:type="dxa"/>
            <w:tcBorders>
              <w:top w:val="nil"/>
              <w:left w:val="single" w:sz="8" w:space="0" w:color="auto"/>
              <w:bottom w:val="single" w:sz="4"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Taliansko</w:t>
            </w:r>
          </w:p>
        </w:tc>
        <w:tc>
          <w:tcPr>
            <w:tcW w:w="3860" w:type="dxa"/>
            <w:tcBorders>
              <w:top w:val="nil"/>
              <w:left w:val="nil"/>
              <w:bottom w:val="single" w:sz="4"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20 rokov poistenia; pri dovŕšení 70 rokov veku je možné odísť do dôchodku s 5 rokmi poistenia</w:t>
            </w:r>
          </w:p>
        </w:tc>
        <w:tc>
          <w:tcPr>
            <w:tcW w:w="3860" w:type="dxa"/>
            <w:tcBorders>
              <w:top w:val="nil"/>
              <w:left w:val="nil"/>
              <w:bottom w:val="single" w:sz="4"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42 rokov a 10 mesiacov poistenia u mužov; 41 rokov a 10 mesiacov poistenia u žien</w:t>
            </w:r>
          </w:p>
        </w:tc>
      </w:tr>
      <w:tr w:rsidR="00057923" w:rsidRPr="00057923" w:rsidTr="00A62543">
        <w:trPr>
          <w:trHeight w:val="284"/>
        </w:trPr>
        <w:tc>
          <w:tcPr>
            <w:tcW w:w="1420" w:type="dxa"/>
            <w:tcBorders>
              <w:top w:val="nil"/>
              <w:left w:val="single" w:sz="8" w:space="0" w:color="auto"/>
              <w:bottom w:val="single" w:sz="8" w:space="0" w:color="auto"/>
              <w:right w:val="single" w:sz="4" w:space="0" w:color="auto"/>
            </w:tcBorders>
            <w:vAlign w:val="center"/>
            <w:hideMark/>
          </w:tcPr>
          <w:p w:rsidR="00057923" w:rsidRPr="00057923" w:rsidRDefault="00057923" w:rsidP="00057923">
            <w:pPr>
              <w:spacing w:after="0" w:line="240" w:lineRule="auto"/>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lastRenderedPageBreak/>
              <w:t>Veľká Británia</w:t>
            </w:r>
          </w:p>
        </w:tc>
        <w:tc>
          <w:tcPr>
            <w:tcW w:w="3860" w:type="dxa"/>
            <w:tcBorders>
              <w:top w:val="nil"/>
              <w:left w:val="nil"/>
              <w:bottom w:val="single" w:sz="8" w:space="0" w:color="auto"/>
              <w:right w:val="single" w:sz="4"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10 rok poistenia</w:t>
            </w:r>
          </w:p>
        </w:tc>
        <w:tc>
          <w:tcPr>
            <w:tcW w:w="3860" w:type="dxa"/>
            <w:tcBorders>
              <w:top w:val="nil"/>
              <w:left w:val="nil"/>
              <w:bottom w:val="single" w:sz="8" w:space="0" w:color="auto"/>
              <w:right w:val="single" w:sz="8" w:space="0" w:color="auto"/>
            </w:tcBorders>
            <w:vAlign w:val="center"/>
            <w:hideMark/>
          </w:tcPr>
          <w:p w:rsidR="00057923" w:rsidRPr="00057923" w:rsidRDefault="00057923" w:rsidP="00057923">
            <w:pPr>
              <w:spacing w:after="0" w:line="240" w:lineRule="auto"/>
              <w:jc w:val="center"/>
              <w:rPr>
                <w:rFonts w:ascii="Book Antiqua" w:eastAsia="Times New Roman" w:hAnsi="Book Antiqua" w:cs="Arial"/>
                <w:sz w:val="20"/>
                <w:szCs w:val="20"/>
                <w:lang w:eastAsia="sk-SK"/>
              </w:rPr>
            </w:pPr>
            <w:r w:rsidRPr="00057923">
              <w:rPr>
                <w:rFonts w:ascii="Book Antiqua" w:eastAsia="Times New Roman" w:hAnsi="Book Antiqua" w:cs="Arial"/>
                <w:sz w:val="20"/>
                <w:szCs w:val="20"/>
                <w:lang w:eastAsia="sk-SK"/>
              </w:rPr>
              <w:t>35 rokov poistenia</w:t>
            </w:r>
          </w:p>
        </w:tc>
      </w:tr>
      <w:tr w:rsidR="00057923" w:rsidRPr="00057923" w:rsidTr="00A62543">
        <w:trPr>
          <w:trHeight w:val="255"/>
        </w:trPr>
        <w:tc>
          <w:tcPr>
            <w:tcW w:w="9140" w:type="dxa"/>
            <w:gridSpan w:val="3"/>
            <w:tcBorders>
              <w:top w:val="nil"/>
              <w:left w:val="nil"/>
              <w:bottom w:val="nil"/>
              <w:right w:val="nil"/>
            </w:tcBorders>
            <w:noWrap/>
            <w:vAlign w:val="bottom"/>
            <w:hideMark/>
          </w:tcPr>
          <w:p w:rsidR="00057923" w:rsidRPr="00057923" w:rsidRDefault="00057923" w:rsidP="00057923">
            <w:pPr>
              <w:spacing w:after="0" w:line="240" w:lineRule="auto"/>
              <w:jc w:val="both"/>
              <w:rPr>
                <w:rFonts w:ascii="Book Antiqua" w:eastAsia="Times New Roman" w:hAnsi="Book Antiqua" w:cs="Arial"/>
                <w:sz w:val="18"/>
                <w:szCs w:val="18"/>
                <w:lang w:eastAsia="sk-SK"/>
              </w:rPr>
            </w:pPr>
            <w:r w:rsidRPr="00057923">
              <w:rPr>
                <w:rFonts w:ascii="Book Antiqua" w:eastAsia="Times New Roman" w:hAnsi="Book Antiqua" w:cs="Arial"/>
                <w:sz w:val="18"/>
                <w:szCs w:val="18"/>
                <w:lang w:eastAsia="sk-SK"/>
              </w:rPr>
              <w:t>Pozn.: Neprihliada sa na možnosť odchodu do predčasného starobného dôchodku,  na tzv. kategórie z dôvodu výkonu nebezpečných a zdraviu škodlivých prác, špecifické podmienky pre niektoré sociálne situácie (napr. invalidita a určitý počet vychovaných detí) a osobitné systémy sociálneho zabezpečenia.</w:t>
            </w:r>
          </w:p>
          <w:p w:rsidR="00057923" w:rsidRPr="00057923" w:rsidRDefault="00057923" w:rsidP="00057923">
            <w:pPr>
              <w:spacing w:after="0" w:line="240" w:lineRule="auto"/>
              <w:jc w:val="both"/>
              <w:rPr>
                <w:rFonts w:ascii="Book Antiqua" w:eastAsia="Times New Roman" w:hAnsi="Book Antiqua" w:cs="Arial"/>
                <w:sz w:val="18"/>
                <w:szCs w:val="18"/>
                <w:lang w:eastAsia="sk-SK"/>
              </w:rPr>
            </w:pPr>
          </w:p>
          <w:p w:rsidR="00057923" w:rsidRPr="00057923" w:rsidRDefault="00057923" w:rsidP="00057923">
            <w:pPr>
              <w:spacing w:after="0" w:line="240" w:lineRule="auto"/>
              <w:jc w:val="both"/>
              <w:rPr>
                <w:rFonts w:ascii="Book Antiqua" w:eastAsia="Times New Roman" w:hAnsi="Book Antiqua" w:cs="Arial"/>
                <w:sz w:val="18"/>
                <w:szCs w:val="18"/>
                <w:lang w:eastAsia="sk-SK"/>
              </w:rPr>
            </w:pPr>
            <w:r w:rsidRPr="00057923">
              <w:rPr>
                <w:rFonts w:ascii="Book Antiqua" w:eastAsia="Times New Roman" w:hAnsi="Book Antiqua" w:cs="Arial"/>
                <w:sz w:val="18"/>
                <w:szCs w:val="18"/>
                <w:lang w:eastAsia="sk-SK"/>
              </w:rPr>
              <w:t>* Pre Dánsko, Fínsko a Švédsko sa uvádza obdobie potrebné k nároku na sociálny, národný resp. garantovaný dôchodok (tzv. univerzálne dôchodkové schémy).</w:t>
            </w:r>
          </w:p>
          <w:p w:rsidR="00057923" w:rsidRPr="00057923" w:rsidRDefault="00057923" w:rsidP="00057923">
            <w:pPr>
              <w:spacing w:after="0" w:line="240" w:lineRule="auto"/>
              <w:jc w:val="both"/>
              <w:rPr>
                <w:rFonts w:ascii="Book Antiqua" w:eastAsia="Times New Roman" w:hAnsi="Book Antiqua" w:cs="Arial"/>
                <w:sz w:val="18"/>
                <w:szCs w:val="18"/>
                <w:lang w:eastAsia="sk-SK"/>
              </w:rPr>
            </w:pPr>
          </w:p>
          <w:p w:rsidR="00057923" w:rsidRPr="00057923" w:rsidRDefault="00057923" w:rsidP="00057923">
            <w:pPr>
              <w:spacing w:after="0" w:line="240" w:lineRule="auto"/>
              <w:jc w:val="both"/>
              <w:rPr>
                <w:rFonts w:ascii="Book Antiqua" w:eastAsia="Times New Roman" w:hAnsi="Book Antiqua" w:cs="Arial"/>
                <w:i/>
                <w:sz w:val="18"/>
                <w:szCs w:val="18"/>
                <w:lang w:eastAsia="sk-SK"/>
              </w:rPr>
            </w:pPr>
            <w:r w:rsidRPr="00057923">
              <w:rPr>
                <w:rFonts w:ascii="Book Antiqua" w:eastAsia="Times New Roman" w:hAnsi="Book Antiqua" w:cs="Arial"/>
                <w:i/>
                <w:sz w:val="20"/>
                <w:szCs w:val="18"/>
                <w:lang w:eastAsia="sk-SK"/>
              </w:rPr>
              <w:t xml:space="preserve">Zdroj: MISSOC január 2018,  </w:t>
            </w:r>
            <w:proofErr w:type="spellStart"/>
            <w:r w:rsidRPr="00057923">
              <w:rPr>
                <w:rFonts w:ascii="Book Antiqua" w:eastAsia="Times New Roman" w:hAnsi="Book Antiqua" w:cs="Arial"/>
                <w:i/>
                <w:sz w:val="20"/>
                <w:szCs w:val="18"/>
                <w:lang w:eastAsia="sk-SK"/>
              </w:rPr>
              <w:t>Pension</w:t>
            </w:r>
            <w:proofErr w:type="spellEnd"/>
            <w:r w:rsidRPr="00057923">
              <w:rPr>
                <w:rFonts w:ascii="Book Antiqua" w:eastAsia="Times New Roman" w:hAnsi="Book Antiqua" w:cs="Arial"/>
                <w:i/>
                <w:sz w:val="20"/>
                <w:szCs w:val="18"/>
                <w:lang w:eastAsia="sk-SK"/>
              </w:rPr>
              <w:t xml:space="preserve"> at </w:t>
            </w:r>
            <w:proofErr w:type="spellStart"/>
            <w:r w:rsidRPr="00057923">
              <w:rPr>
                <w:rFonts w:ascii="Book Antiqua" w:eastAsia="Times New Roman" w:hAnsi="Book Antiqua" w:cs="Arial"/>
                <w:i/>
                <w:sz w:val="20"/>
                <w:szCs w:val="18"/>
                <w:lang w:eastAsia="sk-SK"/>
              </w:rPr>
              <w:t>Glance</w:t>
            </w:r>
            <w:proofErr w:type="spellEnd"/>
            <w:r w:rsidRPr="00057923">
              <w:rPr>
                <w:rFonts w:ascii="Book Antiqua" w:eastAsia="Times New Roman" w:hAnsi="Book Antiqua" w:cs="Arial"/>
                <w:i/>
                <w:sz w:val="20"/>
                <w:szCs w:val="18"/>
                <w:lang w:eastAsia="sk-SK"/>
              </w:rPr>
              <w:t xml:space="preserve"> 2017 (OECD), </w:t>
            </w:r>
            <w:proofErr w:type="spellStart"/>
            <w:r w:rsidRPr="00057923">
              <w:rPr>
                <w:rFonts w:ascii="Book Antiqua" w:eastAsia="Times New Roman" w:hAnsi="Book Antiqua" w:cs="Arial"/>
                <w:i/>
                <w:sz w:val="20"/>
                <w:szCs w:val="18"/>
                <w:lang w:eastAsia="sk-SK"/>
              </w:rPr>
              <w:t>Ageing</w:t>
            </w:r>
            <w:proofErr w:type="spellEnd"/>
            <w:r w:rsidRPr="00057923">
              <w:rPr>
                <w:rFonts w:ascii="Book Antiqua" w:eastAsia="Times New Roman" w:hAnsi="Book Antiqua" w:cs="Arial"/>
                <w:i/>
                <w:sz w:val="20"/>
                <w:szCs w:val="18"/>
                <w:lang w:eastAsia="sk-SK"/>
              </w:rPr>
              <w:t xml:space="preserve"> Report 2018 (EC a EPC/AWG) a </w:t>
            </w:r>
            <w:proofErr w:type="spellStart"/>
            <w:r w:rsidRPr="00057923">
              <w:rPr>
                <w:rFonts w:ascii="Book Antiqua" w:eastAsia="Times New Roman" w:hAnsi="Book Antiqua" w:cs="Arial"/>
                <w:i/>
                <w:sz w:val="20"/>
                <w:szCs w:val="18"/>
                <w:lang w:eastAsia="sk-SK"/>
              </w:rPr>
              <w:t>Adequacy</w:t>
            </w:r>
            <w:proofErr w:type="spellEnd"/>
            <w:r w:rsidRPr="00057923">
              <w:rPr>
                <w:rFonts w:ascii="Book Antiqua" w:eastAsia="Times New Roman" w:hAnsi="Book Antiqua" w:cs="Arial"/>
                <w:i/>
                <w:sz w:val="20"/>
                <w:szCs w:val="18"/>
                <w:lang w:eastAsia="sk-SK"/>
              </w:rPr>
              <w:t xml:space="preserve"> Report 2018 (EC a SPC/WG-AGE)</w:t>
            </w:r>
          </w:p>
        </w:tc>
      </w:tr>
    </w:tbl>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tabs>
          <w:tab w:val="decimal" w:pos="851"/>
        </w:tabs>
        <w:spacing w:after="200" w:line="276" w:lineRule="auto"/>
        <w:jc w:val="both"/>
        <w:rPr>
          <w:rFonts w:ascii="Book Antiqua" w:eastAsia="Times New Roman" w:hAnsi="Book Antiqua" w:cs="Times New Roman"/>
          <w:i/>
        </w:rPr>
      </w:pPr>
      <w:r w:rsidRPr="00057923">
        <w:rPr>
          <w:rFonts w:ascii="Book Antiqua" w:eastAsia="Times New Roman" w:hAnsi="Book Antiqua" w:cs="Times New Roman"/>
          <w:b/>
          <w:i/>
        </w:rPr>
        <w:t>Tabuľka 3:</w:t>
      </w:r>
      <w:r w:rsidRPr="00057923">
        <w:rPr>
          <w:rFonts w:ascii="Book Antiqua" w:eastAsia="Times New Roman" w:hAnsi="Book Antiqua" w:cs="Times New Roman"/>
          <w:i/>
        </w:rPr>
        <w:t xml:space="preserve"> </w:t>
      </w:r>
      <w:r w:rsidRPr="00057923">
        <w:rPr>
          <w:rFonts w:ascii="Book Antiqua" w:eastAsia="Times New Roman" w:hAnsi="Book Antiqua" w:cs="Arial"/>
          <w:i/>
          <w:color w:val="000000"/>
          <w:lang w:eastAsia="sk-SK"/>
        </w:rPr>
        <w:t>Podmienky nároku na flexibilný odchod do dôchodku (predčasný starobný dôchodok, odložený dôchodok a možnosť kombinácie dôchodku a zárobku) v niektorých krajinách EÚ.</w:t>
      </w:r>
    </w:p>
    <w:tbl>
      <w:tblPr>
        <w:tblStyle w:val="Mriekatabuky"/>
        <w:tblW w:w="4942" w:type="pct"/>
        <w:tblLayout w:type="fixed"/>
        <w:tblLook w:val="04A0" w:firstRow="1" w:lastRow="0" w:firstColumn="1" w:lastColumn="0" w:noHBand="0" w:noVBand="1"/>
      </w:tblPr>
      <w:tblGrid>
        <w:gridCol w:w="1764"/>
        <w:gridCol w:w="1386"/>
        <w:gridCol w:w="1519"/>
        <w:gridCol w:w="1388"/>
        <w:gridCol w:w="1383"/>
        <w:gridCol w:w="1515"/>
      </w:tblGrid>
      <w:tr w:rsidR="00057923" w:rsidRPr="00057923" w:rsidTr="00A62543">
        <w:trPr>
          <w:trHeight w:val="397"/>
        </w:trPr>
        <w:tc>
          <w:tcPr>
            <w:tcW w:w="985" w:type="pct"/>
            <w:shd w:val="clear" w:color="auto" w:fill="A6A6A6" w:themeFill="background1" w:themeFillShade="A6"/>
            <w:noWrap/>
            <w:hideMark/>
          </w:tcPr>
          <w:p w:rsidR="00057923" w:rsidRPr="00057923" w:rsidRDefault="00057923" w:rsidP="00057923">
            <w:pPr>
              <w:spacing w:line="276" w:lineRule="auto"/>
              <w:jc w:val="center"/>
              <w:rPr>
                <w:rFonts w:ascii="Book Antiqua" w:hAnsi="Book Antiqua"/>
                <w:b/>
                <w:color w:val="FFFFFF"/>
                <w:sz w:val="16"/>
                <w:szCs w:val="16"/>
              </w:rPr>
            </w:pPr>
            <w:r w:rsidRPr="00057923">
              <w:rPr>
                <w:rFonts w:ascii="Book Antiqua" w:hAnsi="Book Antiqua"/>
                <w:b/>
                <w:color w:val="FFFFFF"/>
                <w:sz w:val="16"/>
                <w:szCs w:val="16"/>
              </w:rPr>
              <w:t>Krajina </w:t>
            </w:r>
          </w:p>
        </w:tc>
        <w:tc>
          <w:tcPr>
            <w:tcW w:w="774" w:type="pct"/>
            <w:shd w:val="clear" w:color="auto" w:fill="A6A6A6" w:themeFill="background1" w:themeFillShade="A6"/>
            <w:hideMark/>
          </w:tcPr>
          <w:p w:rsidR="00057923" w:rsidRPr="00057923" w:rsidRDefault="00057923" w:rsidP="00057923">
            <w:pPr>
              <w:spacing w:line="276" w:lineRule="auto"/>
              <w:jc w:val="center"/>
              <w:rPr>
                <w:rFonts w:ascii="Book Antiqua" w:hAnsi="Book Antiqua"/>
                <w:b/>
                <w:color w:val="FFFFFF"/>
                <w:sz w:val="16"/>
                <w:szCs w:val="16"/>
              </w:rPr>
            </w:pPr>
            <w:r w:rsidRPr="00057923">
              <w:rPr>
                <w:rFonts w:ascii="Book Antiqua" w:hAnsi="Book Antiqua"/>
                <w:b/>
                <w:color w:val="FFFFFF"/>
                <w:sz w:val="16"/>
                <w:szCs w:val="16"/>
              </w:rPr>
              <w:t>Normálny dôchodkový vek*</w:t>
            </w:r>
          </w:p>
          <w:p w:rsidR="00057923" w:rsidRPr="00057923" w:rsidRDefault="00057923" w:rsidP="00057923">
            <w:pPr>
              <w:spacing w:line="276" w:lineRule="auto"/>
              <w:jc w:val="center"/>
              <w:rPr>
                <w:rFonts w:ascii="Book Antiqua" w:hAnsi="Book Antiqua"/>
                <w:b/>
                <w:color w:val="FFFFFF"/>
                <w:sz w:val="16"/>
                <w:szCs w:val="16"/>
              </w:rPr>
            </w:pPr>
            <w:r w:rsidRPr="00057923">
              <w:rPr>
                <w:rFonts w:ascii="Book Antiqua" w:hAnsi="Book Antiqua"/>
                <w:b/>
                <w:color w:val="FFFFFF"/>
                <w:sz w:val="16"/>
                <w:szCs w:val="16"/>
              </w:rPr>
              <w:t>rok/</w:t>
            </w:r>
            <w:proofErr w:type="spellStart"/>
            <w:r w:rsidRPr="00057923">
              <w:rPr>
                <w:rFonts w:ascii="Book Antiqua" w:hAnsi="Book Antiqua"/>
                <w:b/>
                <w:color w:val="FFFFFF"/>
                <w:sz w:val="16"/>
                <w:szCs w:val="16"/>
              </w:rPr>
              <w:t>mes</w:t>
            </w:r>
            <w:proofErr w:type="spellEnd"/>
            <w:r w:rsidRPr="00057923">
              <w:rPr>
                <w:rFonts w:ascii="Book Antiqua" w:hAnsi="Book Antiqua"/>
                <w:b/>
                <w:color w:val="FFFFFF"/>
                <w:sz w:val="16"/>
                <w:szCs w:val="16"/>
              </w:rPr>
              <w:t>/deň</w:t>
            </w:r>
          </w:p>
          <w:p w:rsidR="00057923" w:rsidRPr="00057923" w:rsidRDefault="00057923" w:rsidP="00057923">
            <w:pPr>
              <w:spacing w:line="276" w:lineRule="auto"/>
              <w:jc w:val="center"/>
              <w:rPr>
                <w:rFonts w:ascii="Book Antiqua" w:hAnsi="Book Antiqua"/>
                <w:b/>
                <w:color w:val="FFFFFF"/>
                <w:sz w:val="16"/>
                <w:szCs w:val="16"/>
              </w:rPr>
            </w:pPr>
            <w:r w:rsidRPr="00057923">
              <w:rPr>
                <w:rFonts w:ascii="Book Antiqua" w:hAnsi="Book Antiqua"/>
                <w:b/>
                <w:color w:val="FFFFFF"/>
                <w:sz w:val="16"/>
                <w:szCs w:val="16"/>
              </w:rPr>
              <w:t>r/m/d</w:t>
            </w:r>
          </w:p>
          <w:p w:rsidR="00057923" w:rsidRPr="00057923" w:rsidRDefault="00057923" w:rsidP="00057923">
            <w:pPr>
              <w:spacing w:line="276" w:lineRule="auto"/>
              <w:jc w:val="center"/>
              <w:rPr>
                <w:rFonts w:ascii="Book Antiqua" w:hAnsi="Book Antiqua"/>
                <w:b/>
                <w:color w:val="FFFFFF"/>
                <w:sz w:val="16"/>
                <w:szCs w:val="16"/>
              </w:rPr>
            </w:pPr>
            <w:r w:rsidRPr="00057923">
              <w:rPr>
                <w:rFonts w:ascii="Book Antiqua" w:hAnsi="Book Antiqua"/>
                <w:b/>
                <w:color w:val="FFFFFF"/>
                <w:sz w:val="16"/>
                <w:szCs w:val="16"/>
              </w:rPr>
              <w:t>(ženy)</w:t>
            </w:r>
          </w:p>
        </w:tc>
        <w:tc>
          <w:tcPr>
            <w:tcW w:w="848" w:type="pct"/>
            <w:shd w:val="clear" w:color="auto" w:fill="A6A6A6" w:themeFill="background1" w:themeFillShade="A6"/>
            <w:hideMark/>
          </w:tcPr>
          <w:p w:rsidR="00057923" w:rsidRPr="00057923" w:rsidRDefault="00057923" w:rsidP="00057923">
            <w:pPr>
              <w:spacing w:line="276" w:lineRule="auto"/>
              <w:jc w:val="center"/>
              <w:rPr>
                <w:rFonts w:ascii="Book Antiqua" w:hAnsi="Book Antiqua"/>
                <w:b/>
                <w:color w:val="FFFFFF"/>
                <w:sz w:val="16"/>
                <w:szCs w:val="16"/>
              </w:rPr>
            </w:pPr>
            <w:r w:rsidRPr="00057923">
              <w:rPr>
                <w:rFonts w:ascii="Book Antiqua" w:hAnsi="Book Antiqua"/>
                <w:b/>
                <w:color w:val="FFFFFF"/>
                <w:sz w:val="16"/>
                <w:szCs w:val="16"/>
              </w:rPr>
              <w:t>Predčasný dôchodkový vek</w:t>
            </w:r>
          </w:p>
        </w:tc>
        <w:tc>
          <w:tcPr>
            <w:tcW w:w="775" w:type="pct"/>
            <w:shd w:val="clear" w:color="auto" w:fill="A6A6A6" w:themeFill="background1" w:themeFillShade="A6"/>
            <w:noWrap/>
            <w:hideMark/>
          </w:tcPr>
          <w:p w:rsidR="00057923" w:rsidRPr="00057923" w:rsidRDefault="00057923" w:rsidP="00057923">
            <w:pPr>
              <w:spacing w:line="276" w:lineRule="auto"/>
              <w:jc w:val="center"/>
              <w:rPr>
                <w:rFonts w:ascii="Book Antiqua" w:hAnsi="Book Antiqua"/>
                <w:b/>
                <w:color w:val="FFFFFF"/>
                <w:sz w:val="16"/>
                <w:szCs w:val="16"/>
              </w:rPr>
            </w:pPr>
            <w:r w:rsidRPr="00057923">
              <w:rPr>
                <w:rFonts w:ascii="Book Antiqua" w:hAnsi="Book Antiqua"/>
                <w:b/>
                <w:color w:val="FFFFFF"/>
                <w:sz w:val="16"/>
                <w:szCs w:val="16"/>
              </w:rPr>
              <w:t>Krátenie predčasného dôchodku ročne</w:t>
            </w:r>
          </w:p>
        </w:tc>
        <w:tc>
          <w:tcPr>
            <w:tcW w:w="772" w:type="pct"/>
            <w:shd w:val="clear" w:color="auto" w:fill="A6A6A6" w:themeFill="background1" w:themeFillShade="A6"/>
            <w:hideMark/>
          </w:tcPr>
          <w:p w:rsidR="00057923" w:rsidRPr="00057923" w:rsidRDefault="00057923" w:rsidP="00057923">
            <w:pPr>
              <w:spacing w:line="276" w:lineRule="auto"/>
              <w:jc w:val="center"/>
              <w:rPr>
                <w:rFonts w:ascii="Book Antiqua" w:hAnsi="Book Antiqua"/>
                <w:b/>
                <w:color w:val="FFFFFF"/>
                <w:sz w:val="16"/>
                <w:szCs w:val="16"/>
              </w:rPr>
            </w:pPr>
            <w:r w:rsidRPr="00057923">
              <w:rPr>
                <w:rFonts w:ascii="Book Antiqua" w:hAnsi="Book Antiqua"/>
                <w:b/>
                <w:color w:val="FFFFFF"/>
                <w:sz w:val="16"/>
                <w:szCs w:val="16"/>
              </w:rPr>
              <w:t>Maximálny vek odchodu do dôchodku</w:t>
            </w:r>
          </w:p>
          <w:p w:rsidR="00057923" w:rsidRPr="00057923" w:rsidRDefault="00057923" w:rsidP="00057923">
            <w:pPr>
              <w:spacing w:line="276" w:lineRule="auto"/>
              <w:jc w:val="center"/>
              <w:rPr>
                <w:rFonts w:ascii="Book Antiqua" w:hAnsi="Book Antiqua"/>
                <w:b/>
                <w:color w:val="FFFFFF"/>
                <w:sz w:val="16"/>
                <w:szCs w:val="16"/>
              </w:rPr>
            </w:pPr>
            <w:r w:rsidRPr="00057923">
              <w:rPr>
                <w:rFonts w:ascii="Book Antiqua" w:hAnsi="Book Antiqua"/>
                <w:b/>
                <w:color w:val="FFFFFF"/>
                <w:sz w:val="16"/>
                <w:szCs w:val="16"/>
              </w:rPr>
              <w:t>m/ž</w:t>
            </w:r>
          </w:p>
        </w:tc>
        <w:tc>
          <w:tcPr>
            <w:tcW w:w="846" w:type="pct"/>
            <w:shd w:val="clear" w:color="auto" w:fill="A6A6A6" w:themeFill="background1" w:themeFillShade="A6"/>
            <w:noWrap/>
            <w:hideMark/>
          </w:tcPr>
          <w:p w:rsidR="00057923" w:rsidRPr="00057923" w:rsidRDefault="00057923" w:rsidP="00057923">
            <w:pPr>
              <w:spacing w:line="276" w:lineRule="auto"/>
              <w:jc w:val="center"/>
              <w:rPr>
                <w:rFonts w:ascii="Book Antiqua" w:hAnsi="Book Antiqua"/>
                <w:b/>
                <w:color w:val="FFFFFF"/>
                <w:sz w:val="16"/>
                <w:szCs w:val="16"/>
              </w:rPr>
            </w:pPr>
            <w:r w:rsidRPr="00057923">
              <w:rPr>
                <w:rFonts w:ascii="Book Antiqua" w:hAnsi="Book Antiqua"/>
                <w:b/>
                <w:color w:val="FFFFFF"/>
                <w:sz w:val="16"/>
                <w:szCs w:val="16"/>
              </w:rPr>
              <w:t>Bonus za neskorší odchod do dôchodku</w:t>
            </w:r>
          </w:p>
          <w:p w:rsidR="00057923" w:rsidRPr="00057923" w:rsidRDefault="00057923" w:rsidP="00057923">
            <w:pPr>
              <w:spacing w:line="276" w:lineRule="auto"/>
              <w:jc w:val="center"/>
              <w:rPr>
                <w:rFonts w:ascii="Book Antiqua" w:hAnsi="Book Antiqua"/>
                <w:b/>
                <w:color w:val="FFFFFF"/>
                <w:sz w:val="16"/>
                <w:szCs w:val="16"/>
              </w:rPr>
            </w:pPr>
            <w:r w:rsidRPr="00057923">
              <w:rPr>
                <w:rFonts w:ascii="Book Antiqua" w:hAnsi="Book Antiqua"/>
                <w:b/>
                <w:color w:val="FFFFFF"/>
                <w:sz w:val="16"/>
                <w:szCs w:val="16"/>
              </w:rPr>
              <w:t>ročne</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Rakúsko</w:t>
            </w:r>
          </w:p>
        </w:tc>
        <w:tc>
          <w:tcPr>
            <w:tcW w:w="774" w:type="pct"/>
            <w:noWrap/>
            <w:vAlign w:val="center"/>
            <w:hideMark/>
          </w:tcPr>
          <w:p w:rsidR="00057923" w:rsidRPr="00057923" w:rsidRDefault="00057923" w:rsidP="00057923">
            <w:pPr>
              <w:ind w:left="-781" w:right="-58" w:firstLine="781"/>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65r (60r)</w:t>
            </w:r>
          </w:p>
        </w:tc>
        <w:tc>
          <w:tcPr>
            <w:tcW w:w="848" w:type="pct"/>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 xml:space="preserve">62 pre </w:t>
            </w:r>
            <w:proofErr w:type="spellStart"/>
            <w:r w:rsidRPr="00057923">
              <w:rPr>
                <w:rFonts w:ascii="Book Antiqua" w:hAnsi="Book Antiqua" w:cs="Arial"/>
                <w:color w:val="000000"/>
                <w:sz w:val="16"/>
                <w:szCs w:val="16"/>
                <w:lang w:eastAsia="sk-SK"/>
              </w:rPr>
              <w:t>Corridor</w:t>
            </w:r>
            <w:proofErr w:type="spellEnd"/>
            <w:r w:rsidRPr="00057923">
              <w:rPr>
                <w:rFonts w:ascii="Book Antiqua" w:hAnsi="Book Antiqua" w:cs="Arial"/>
                <w:color w:val="000000"/>
                <w:sz w:val="16"/>
                <w:szCs w:val="16"/>
                <w:lang w:eastAsia="sk-SK"/>
              </w:rPr>
              <w:t xml:space="preserve"> </w:t>
            </w:r>
            <w:proofErr w:type="spellStart"/>
            <w:r w:rsidRPr="00057923">
              <w:rPr>
                <w:rFonts w:ascii="Book Antiqua" w:hAnsi="Book Antiqua" w:cs="Arial"/>
                <w:color w:val="000000"/>
                <w:sz w:val="16"/>
                <w:szCs w:val="16"/>
                <w:lang w:eastAsia="sk-SK"/>
              </w:rPr>
              <w:t>pension</w:t>
            </w:r>
            <w:proofErr w:type="spellEnd"/>
            <w:r w:rsidRPr="00057923">
              <w:rPr>
                <w:rFonts w:ascii="Book Antiqua" w:hAnsi="Book Antiqua" w:cs="Arial"/>
                <w:color w:val="000000"/>
                <w:sz w:val="16"/>
                <w:szCs w:val="16"/>
                <w:lang w:eastAsia="sk-SK"/>
              </w:rPr>
              <w:t xml:space="preserve"> alebo 64.9/59.9 predčasný dôchodok </w:t>
            </w:r>
          </w:p>
        </w:tc>
        <w:tc>
          <w:tcPr>
            <w:tcW w:w="775" w:type="pct"/>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5,1% (</w:t>
            </w:r>
            <w:proofErr w:type="spellStart"/>
            <w:r w:rsidRPr="00057923">
              <w:rPr>
                <w:rFonts w:ascii="Book Antiqua" w:hAnsi="Book Antiqua" w:cs="Arial"/>
                <w:color w:val="000000"/>
                <w:sz w:val="16"/>
                <w:szCs w:val="16"/>
                <w:lang w:eastAsia="sk-SK"/>
              </w:rPr>
              <w:t>corridor</w:t>
            </w:r>
            <w:proofErr w:type="spellEnd"/>
            <w:r w:rsidRPr="00057923">
              <w:rPr>
                <w:rFonts w:ascii="Book Antiqua" w:hAnsi="Book Antiqua" w:cs="Arial"/>
                <w:color w:val="000000"/>
                <w:sz w:val="16"/>
                <w:szCs w:val="16"/>
                <w:lang w:eastAsia="sk-SK"/>
              </w:rPr>
              <w:t>) or 4,2% (predčasný)</w:t>
            </w: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68r-m/63r-ž</w:t>
            </w:r>
          </w:p>
        </w:tc>
        <w:tc>
          <w:tcPr>
            <w:tcW w:w="846"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4,2%</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Belgicko</w:t>
            </w:r>
          </w:p>
        </w:tc>
        <w:tc>
          <w:tcPr>
            <w:tcW w:w="774" w:type="pct"/>
            <w:noWrap/>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65r</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62r (so 40 rokmi poistenia)</w:t>
            </w:r>
          </w:p>
        </w:tc>
        <w:tc>
          <w:tcPr>
            <w:tcW w:w="775"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772"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Česká republika</w:t>
            </w:r>
          </w:p>
        </w:tc>
        <w:tc>
          <w:tcPr>
            <w:tcW w:w="774" w:type="pct"/>
            <w:noWrap/>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63r-2m (</w:t>
            </w:r>
            <w:r w:rsidRPr="00057923">
              <w:rPr>
                <w:rFonts w:ascii="Book Antiqua" w:hAnsi="Book Antiqua"/>
                <w:sz w:val="16"/>
                <w:szCs w:val="16"/>
              </w:rPr>
              <w:t>58r8m-62r8m)</w:t>
            </w:r>
            <w:r w:rsidRPr="00057923">
              <w:rPr>
                <w:rFonts w:ascii="Book Antiqua" w:hAnsi="Book Antiqua" w:cs="Arial"/>
                <w:color w:val="000000"/>
                <w:sz w:val="16"/>
                <w:szCs w:val="16"/>
                <w:lang w:eastAsia="sk-SK"/>
              </w:rPr>
              <w:t xml:space="preserve"> </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60r</w:t>
            </w:r>
          </w:p>
        </w:tc>
        <w:tc>
          <w:tcPr>
            <w:tcW w:w="775" w:type="pct"/>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3,6%(prvý rok); 4,8% (druhý rok) a 6% (tretí rok)</w:t>
            </w: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Dánsko</w:t>
            </w:r>
          </w:p>
        </w:tc>
        <w:tc>
          <w:tcPr>
            <w:tcW w:w="774" w:type="pct"/>
            <w:noWrap/>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65r</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60r (DC schéma)</w:t>
            </w:r>
          </w:p>
        </w:tc>
        <w:tc>
          <w:tcPr>
            <w:tcW w:w="775"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zákonný dôchodkový vek +10 rokov</w:t>
            </w:r>
          </w:p>
        </w:tc>
        <w:tc>
          <w:tcPr>
            <w:tcW w:w="846" w:type="pct"/>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V závislosti od úmrtnostných tabuliek.</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Estónsko</w:t>
            </w:r>
          </w:p>
        </w:tc>
        <w:tc>
          <w:tcPr>
            <w:tcW w:w="774" w:type="pct"/>
            <w:noWrap/>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63r3m</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zákonný dôchodkový vek    -3 roky</w:t>
            </w:r>
          </w:p>
        </w:tc>
        <w:tc>
          <w:tcPr>
            <w:tcW w:w="775"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4,8%</w:t>
            </w: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10,8%</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Fínsko</w:t>
            </w:r>
          </w:p>
        </w:tc>
        <w:tc>
          <w:tcPr>
            <w:tcW w:w="774" w:type="pct"/>
            <w:noWrap/>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65</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63r</w:t>
            </w:r>
          </w:p>
        </w:tc>
        <w:tc>
          <w:tcPr>
            <w:tcW w:w="775" w:type="pct"/>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4,8% (národný dôchodok)</w:t>
            </w: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7,2% (národný dôchodok), 4,8% (zásluhová schéma na základe zárobkov po veku 68 r)</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Francúzsko</w:t>
            </w:r>
          </w:p>
        </w:tc>
        <w:tc>
          <w:tcPr>
            <w:tcW w:w="774" w:type="pct"/>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61,6r so 41,6 rokmi poistenia</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61,6r (zásluhová schéma na základe zárobkov), 56,6r    (zamestnanecká schéma)</w:t>
            </w:r>
          </w:p>
        </w:tc>
        <w:tc>
          <w:tcPr>
            <w:tcW w:w="775"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5%</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Nemecko</w:t>
            </w:r>
          </w:p>
        </w:tc>
        <w:tc>
          <w:tcPr>
            <w:tcW w:w="774" w:type="pct"/>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65r so 45 rokmi poistenia</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63r</w:t>
            </w:r>
          </w:p>
        </w:tc>
        <w:tc>
          <w:tcPr>
            <w:tcW w:w="775"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3,6%</w:t>
            </w: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Grécko</w:t>
            </w:r>
          </w:p>
        </w:tc>
        <w:tc>
          <w:tcPr>
            <w:tcW w:w="774" w:type="pct"/>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62r so 40 rokmi poistenia</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62r</w:t>
            </w:r>
          </w:p>
        </w:tc>
        <w:tc>
          <w:tcPr>
            <w:tcW w:w="775" w:type="pct"/>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 xml:space="preserve">6% (plus pre prípady priznané po 19.8.2015 dodatočné dočasné zníženie o 10% až do dovŕšenia dôchodkového veku) </w:t>
            </w: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Maďarsko</w:t>
            </w:r>
          </w:p>
        </w:tc>
        <w:tc>
          <w:tcPr>
            <w:tcW w:w="774" w:type="pct"/>
            <w:noWrap/>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63</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 xml:space="preserve">Akýkoľvek vek pre ženy so 40 rokmi poistenia </w:t>
            </w:r>
          </w:p>
        </w:tc>
        <w:tc>
          <w:tcPr>
            <w:tcW w:w="775"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lastRenderedPageBreak/>
              <w:t>Írsko</w:t>
            </w:r>
          </w:p>
        </w:tc>
        <w:tc>
          <w:tcPr>
            <w:tcW w:w="774" w:type="pct"/>
            <w:noWrap/>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66</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775"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Taliansko</w:t>
            </w:r>
          </w:p>
        </w:tc>
        <w:tc>
          <w:tcPr>
            <w:tcW w:w="774" w:type="pct"/>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66,8r (65,8r)</w:t>
            </w:r>
          </w:p>
        </w:tc>
        <w:tc>
          <w:tcPr>
            <w:tcW w:w="848" w:type="pct"/>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62.8r (61.8r)</w:t>
            </w:r>
          </w:p>
        </w:tc>
        <w:tc>
          <w:tcPr>
            <w:tcW w:w="775" w:type="pct"/>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 xml:space="preserve">1% za každý rok, 2% za každý dodatočný rok pod vek 62 </w:t>
            </w:r>
            <w:proofErr w:type="spellStart"/>
            <w:r w:rsidRPr="00057923">
              <w:rPr>
                <w:rFonts w:ascii="Book Antiqua" w:hAnsi="Book Antiqua" w:cs="Arial"/>
                <w:color w:val="000000"/>
                <w:sz w:val="16"/>
                <w:szCs w:val="16"/>
                <w:lang w:eastAsia="sk-SK"/>
              </w:rPr>
              <w:t>roko</w:t>
            </w:r>
            <w:proofErr w:type="spellEnd"/>
          </w:p>
        </w:tc>
        <w:tc>
          <w:tcPr>
            <w:tcW w:w="772"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Lotyšsko</w:t>
            </w:r>
          </w:p>
        </w:tc>
        <w:tc>
          <w:tcPr>
            <w:tcW w:w="774" w:type="pct"/>
            <w:noWrap/>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63r</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zákonný dôchodkový vek   -2 roky</w:t>
            </w:r>
          </w:p>
        </w:tc>
        <w:tc>
          <w:tcPr>
            <w:tcW w:w="775"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772"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Luxembursko</w:t>
            </w:r>
          </w:p>
        </w:tc>
        <w:tc>
          <w:tcPr>
            <w:tcW w:w="774" w:type="pct"/>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60r so 40 rokmi poistenia</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60r</w:t>
            </w:r>
          </w:p>
        </w:tc>
        <w:tc>
          <w:tcPr>
            <w:tcW w:w="775"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65r</w:t>
            </w:r>
          </w:p>
        </w:tc>
        <w:tc>
          <w:tcPr>
            <w:tcW w:w="846"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Holandsko</w:t>
            </w:r>
          </w:p>
        </w:tc>
        <w:tc>
          <w:tcPr>
            <w:tcW w:w="774" w:type="pct"/>
            <w:noWrap/>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65,75r</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775"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772"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Poľsko</w:t>
            </w:r>
          </w:p>
        </w:tc>
        <w:tc>
          <w:tcPr>
            <w:tcW w:w="774" w:type="pct"/>
            <w:noWrap/>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65r (60r)</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775"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772"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Portugalsko</w:t>
            </w:r>
          </w:p>
        </w:tc>
        <w:tc>
          <w:tcPr>
            <w:tcW w:w="774" w:type="pct"/>
            <w:noWrap/>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66,25r</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775"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70r</w:t>
            </w:r>
          </w:p>
        </w:tc>
        <w:tc>
          <w:tcPr>
            <w:tcW w:w="846"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4%-12%</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Slovenská republika</w:t>
            </w:r>
          </w:p>
        </w:tc>
        <w:tc>
          <w:tcPr>
            <w:tcW w:w="774" w:type="pct"/>
            <w:noWrap/>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62r76d (</w:t>
            </w:r>
            <w:r w:rsidRPr="00057923">
              <w:rPr>
                <w:rFonts w:ascii="Book Antiqua" w:hAnsi="Book Antiqua"/>
                <w:sz w:val="16"/>
                <w:szCs w:val="16"/>
              </w:rPr>
              <w:t>59r-62r76d)</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zákonný dôchodkový vek   -2 roky</w:t>
            </w:r>
          </w:p>
        </w:tc>
        <w:tc>
          <w:tcPr>
            <w:tcW w:w="775"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6,5%</w:t>
            </w: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Slovinsko</w:t>
            </w:r>
          </w:p>
        </w:tc>
        <w:tc>
          <w:tcPr>
            <w:tcW w:w="774" w:type="pct"/>
            <w:noWrap/>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 xml:space="preserve">62r </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p>
        </w:tc>
        <w:tc>
          <w:tcPr>
            <w:tcW w:w="775"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3,6%</w:t>
            </w: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4%</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Španielsko</w:t>
            </w:r>
          </w:p>
        </w:tc>
        <w:tc>
          <w:tcPr>
            <w:tcW w:w="774" w:type="pct"/>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65r pre osoby s poistením 36,5 r</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 xml:space="preserve">zákonný dôchodkový vek s 35 rokmi poistenia </w:t>
            </w:r>
          </w:p>
        </w:tc>
        <w:tc>
          <w:tcPr>
            <w:tcW w:w="775"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6%-8%</w:t>
            </w: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2%-4%</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Švédsko</w:t>
            </w:r>
          </w:p>
        </w:tc>
        <w:tc>
          <w:tcPr>
            <w:tcW w:w="774" w:type="pct"/>
            <w:noWrap/>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65r</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61 (zásluhová schéma na základe zárobkov)</w:t>
            </w:r>
          </w:p>
        </w:tc>
        <w:tc>
          <w:tcPr>
            <w:tcW w:w="775"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r>
      <w:tr w:rsidR="00057923" w:rsidRPr="00057923" w:rsidTr="00A62543">
        <w:trPr>
          <w:trHeight w:val="397"/>
        </w:trPr>
        <w:tc>
          <w:tcPr>
            <w:tcW w:w="985" w:type="pct"/>
            <w:noWrap/>
            <w:vAlign w:val="center"/>
            <w:hideMark/>
          </w:tcPr>
          <w:p w:rsidR="00057923" w:rsidRPr="00057923" w:rsidRDefault="00057923" w:rsidP="00057923">
            <w:pPr>
              <w:ind w:right="362"/>
              <w:rPr>
                <w:rFonts w:ascii="Book Antiqua" w:hAnsi="Book Antiqua" w:cs="Arial"/>
                <w:color w:val="000000"/>
                <w:sz w:val="18"/>
                <w:szCs w:val="18"/>
                <w:lang w:eastAsia="sk-SK"/>
              </w:rPr>
            </w:pPr>
            <w:r w:rsidRPr="00057923">
              <w:rPr>
                <w:rFonts w:ascii="Book Antiqua" w:hAnsi="Book Antiqua" w:cs="Arial"/>
                <w:color w:val="000000"/>
                <w:sz w:val="18"/>
                <w:szCs w:val="18"/>
                <w:lang w:eastAsia="sk-SK"/>
              </w:rPr>
              <w:t>Veľká Británia</w:t>
            </w:r>
          </w:p>
        </w:tc>
        <w:tc>
          <w:tcPr>
            <w:tcW w:w="774" w:type="pct"/>
            <w:noWrap/>
            <w:vAlign w:val="center"/>
            <w:hideMark/>
          </w:tcPr>
          <w:p w:rsidR="00057923" w:rsidRPr="00057923" w:rsidRDefault="00057923" w:rsidP="00057923">
            <w:pPr>
              <w:ind w:right="-58"/>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65r (63,4r)</w:t>
            </w:r>
          </w:p>
        </w:tc>
        <w:tc>
          <w:tcPr>
            <w:tcW w:w="848"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775"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772" w:type="pct"/>
            <w:noWrap/>
            <w:vAlign w:val="center"/>
            <w:hideMark/>
          </w:tcPr>
          <w:p w:rsidR="00057923" w:rsidRPr="00057923" w:rsidRDefault="00057923" w:rsidP="00057923">
            <w:pPr>
              <w:ind w:right="-59"/>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w:t>
            </w:r>
          </w:p>
        </w:tc>
        <w:tc>
          <w:tcPr>
            <w:tcW w:w="846" w:type="pct"/>
            <w:noWrap/>
            <w:vAlign w:val="center"/>
            <w:hideMark/>
          </w:tcPr>
          <w:p w:rsidR="00057923" w:rsidRPr="00057923" w:rsidRDefault="00057923" w:rsidP="00057923">
            <w:pPr>
              <w:jc w:val="center"/>
              <w:rPr>
                <w:rFonts w:ascii="Book Antiqua" w:hAnsi="Book Antiqua" w:cs="Arial"/>
                <w:color w:val="000000"/>
                <w:sz w:val="16"/>
                <w:szCs w:val="16"/>
                <w:lang w:eastAsia="sk-SK"/>
              </w:rPr>
            </w:pPr>
            <w:r w:rsidRPr="00057923">
              <w:rPr>
                <w:rFonts w:ascii="Book Antiqua" w:hAnsi="Book Antiqua" w:cs="Arial"/>
                <w:color w:val="000000"/>
                <w:sz w:val="16"/>
                <w:szCs w:val="16"/>
                <w:lang w:eastAsia="sk-SK"/>
              </w:rPr>
              <w:t>5,8%</w:t>
            </w:r>
          </w:p>
        </w:tc>
      </w:tr>
    </w:tbl>
    <w:p w:rsidR="00057923" w:rsidRPr="00057923" w:rsidRDefault="00057923" w:rsidP="00057923">
      <w:pPr>
        <w:spacing w:after="20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 xml:space="preserve">*Normálny dôchodkový vek pre osobu, ktorá vstúpila na trh práce vo veku 20 rokov a v prvom momente má nárok na nekrátený starobný dôchodok. </w:t>
      </w:r>
    </w:p>
    <w:p w:rsidR="00057923" w:rsidRPr="00057923" w:rsidRDefault="00057923" w:rsidP="00057923">
      <w:pPr>
        <w:spacing w:after="20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 xml:space="preserve">Zdroj: OECD </w:t>
      </w:r>
      <w:proofErr w:type="spellStart"/>
      <w:r w:rsidRPr="00057923">
        <w:rPr>
          <w:rFonts w:ascii="Book Antiqua" w:eastAsia="Times New Roman" w:hAnsi="Book Antiqua" w:cs="Times New Roman"/>
          <w:i/>
          <w:sz w:val="20"/>
          <w:szCs w:val="20"/>
        </w:rPr>
        <w:t>Pension</w:t>
      </w:r>
      <w:proofErr w:type="spellEnd"/>
      <w:r w:rsidRPr="00057923">
        <w:rPr>
          <w:rFonts w:ascii="Book Antiqua" w:eastAsia="Times New Roman" w:hAnsi="Book Antiqua" w:cs="Times New Roman"/>
          <w:i/>
          <w:sz w:val="20"/>
          <w:szCs w:val="20"/>
        </w:rPr>
        <w:t xml:space="preserve"> at </w:t>
      </w:r>
      <w:proofErr w:type="spellStart"/>
      <w:r w:rsidRPr="00057923">
        <w:rPr>
          <w:rFonts w:ascii="Book Antiqua" w:eastAsia="Times New Roman" w:hAnsi="Book Antiqua" w:cs="Times New Roman"/>
          <w:i/>
          <w:sz w:val="20"/>
          <w:szCs w:val="20"/>
        </w:rPr>
        <w:t>Glance</w:t>
      </w:r>
      <w:proofErr w:type="spellEnd"/>
      <w:r w:rsidRPr="00057923">
        <w:rPr>
          <w:rFonts w:ascii="Book Antiqua" w:eastAsia="Times New Roman" w:hAnsi="Book Antiqua" w:cs="Times New Roman"/>
          <w:i/>
          <w:sz w:val="20"/>
          <w:szCs w:val="20"/>
        </w:rPr>
        <w:t xml:space="preserve"> 2017</w:t>
      </w:r>
    </w:p>
    <w:p w:rsidR="00057923" w:rsidRPr="00057923" w:rsidRDefault="00057923" w:rsidP="00057923">
      <w:pPr>
        <w:spacing w:after="200" w:line="240" w:lineRule="auto"/>
        <w:rPr>
          <w:rFonts w:ascii="Book Antiqua" w:eastAsia="Times New Roman" w:hAnsi="Book Antiqua" w:cs="Arial"/>
          <w:b/>
          <w:i/>
          <w:lang w:eastAsia="sk-SK"/>
        </w:rPr>
      </w:pPr>
    </w:p>
    <w:p w:rsidR="00057923" w:rsidRPr="00057923" w:rsidRDefault="00057923" w:rsidP="00057923">
      <w:pPr>
        <w:spacing w:after="200" w:line="240" w:lineRule="auto"/>
        <w:rPr>
          <w:rFonts w:ascii="Book Antiqua" w:eastAsia="Times New Roman" w:hAnsi="Book Antiqua" w:cs="Arial"/>
          <w:i/>
          <w:lang w:eastAsia="sk-SK"/>
        </w:rPr>
      </w:pPr>
      <w:r w:rsidRPr="00057923">
        <w:rPr>
          <w:rFonts w:ascii="Book Antiqua" w:eastAsia="Times New Roman" w:hAnsi="Book Antiqua" w:cs="Arial"/>
          <w:b/>
          <w:i/>
          <w:lang w:eastAsia="sk-SK"/>
        </w:rPr>
        <w:t>Tabuľka 4:</w:t>
      </w:r>
      <w:r w:rsidRPr="00057923">
        <w:rPr>
          <w:rFonts w:ascii="Book Antiqua" w:eastAsia="Times New Roman" w:hAnsi="Book Antiqua" w:cs="Arial"/>
          <w:i/>
          <w:lang w:eastAsia="sk-SK"/>
        </w:rPr>
        <w:t xml:space="preserve"> Miera zamestnanosti starších v % (55 - 64 roční) – muži</w:t>
      </w:r>
    </w:p>
    <w:tbl>
      <w:tblPr>
        <w:tblW w:w="5000" w:type="pct"/>
        <w:tblCellMar>
          <w:left w:w="70" w:type="dxa"/>
          <w:right w:w="70" w:type="dxa"/>
        </w:tblCellMar>
        <w:tblLook w:val="04A0" w:firstRow="1" w:lastRow="0" w:firstColumn="1" w:lastColumn="0" w:noHBand="0" w:noVBand="1"/>
      </w:tblPr>
      <w:tblGrid>
        <w:gridCol w:w="1742"/>
        <w:gridCol w:w="914"/>
        <w:gridCol w:w="914"/>
        <w:gridCol w:w="914"/>
        <w:gridCol w:w="914"/>
        <w:gridCol w:w="914"/>
        <w:gridCol w:w="914"/>
        <w:gridCol w:w="914"/>
        <w:gridCol w:w="910"/>
      </w:tblGrid>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057923" w:rsidRPr="00057923" w:rsidRDefault="00057923" w:rsidP="00057923">
            <w:pPr>
              <w:spacing w:after="0" w:line="240" w:lineRule="auto"/>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krajina/rok</w:t>
            </w:r>
          </w:p>
        </w:tc>
        <w:tc>
          <w:tcPr>
            <w:tcW w:w="505"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2010</w:t>
            </w:r>
          </w:p>
        </w:tc>
        <w:tc>
          <w:tcPr>
            <w:tcW w:w="505"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2011</w:t>
            </w:r>
          </w:p>
        </w:tc>
        <w:tc>
          <w:tcPr>
            <w:tcW w:w="505"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2012</w:t>
            </w:r>
          </w:p>
        </w:tc>
        <w:tc>
          <w:tcPr>
            <w:tcW w:w="505"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2013</w:t>
            </w:r>
          </w:p>
        </w:tc>
        <w:tc>
          <w:tcPr>
            <w:tcW w:w="505"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2014</w:t>
            </w:r>
          </w:p>
        </w:tc>
        <w:tc>
          <w:tcPr>
            <w:tcW w:w="505"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2015</w:t>
            </w:r>
          </w:p>
        </w:tc>
        <w:tc>
          <w:tcPr>
            <w:tcW w:w="505"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2016</w:t>
            </w:r>
          </w:p>
        </w:tc>
        <w:tc>
          <w:tcPr>
            <w:tcW w:w="505"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2017</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Belgicko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47,7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50,7</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53,8</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Bulharsko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58,3</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62,5</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Cyprus</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70,5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69,2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65</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Česká republika</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58,4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58,9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60,3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62,5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64,8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65,5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68,2</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71,7</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Dánsko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65,9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66,5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68,9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69,8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71,9</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72,8</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Estónsko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65,1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63,7</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66,6</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Fínsko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59,8</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61,7</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Francúzsko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51,6</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52,7</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Grécko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52,3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47,7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44,9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46,2</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49,6</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Holandsko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64,5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64,5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66,9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68,9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69,4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71,1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72,8</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74,8</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Chorvátsko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45,1</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Írsko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58,2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64,9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65,7</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66,8</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Litva</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52,1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58,8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62,4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66,8</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67,2</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Lotyšsko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46,9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60,1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61,3</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62,4</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lastRenderedPageBreak/>
              <w:t>Luxembursko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47,7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47,4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46,4</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45,4</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Maďarsko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38,6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39,3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41,4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44,8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59,7</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62,6</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Malta</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58,8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61,8</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64,2</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Nemecko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65,2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67,1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68,6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69,9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71,4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71,3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73,7</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75</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Poľsko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47,8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55,7</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58,3</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Portugalsko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58,5</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Rakúsko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52,8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57,6</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60,1</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Rumunsko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55,3</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Slovensko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52,5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55,1</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56,6</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Slovinsko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39,5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40,7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41,8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41,8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43,6</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Španielsko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52,1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55,7</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57,8</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Švédsko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75,2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76,3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76,9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76,5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76,8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77,5</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78,4</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Taliansko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47,6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52,8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61,7</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62,8</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Veľká Británia</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65,1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64,1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65,4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66,8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67,8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68,6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69,6</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69,3</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 xml:space="preserve">EU-28 </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58,8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60,2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62</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63,7</w:t>
            </w:r>
          </w:p>
        </w:tc>
      </w:tr>
    </w:tbl>
    <w:p w:rsidR="00057923" w:rsidRPr="00057923" w:rsidRDefault="00057923" w:rsidP="00057923">
      <w:pPr>
        <w:spacing w:after="0" w:line="240" w:lineRule="auto"/>
        <w:jc w:val="both"/>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 xml:space="preserve">Zdroj: </w:t>
      </w:r>
      <w:proofErr w:type="spellStart"/>
      <w:r w:rsidRPr="00057923">
        <w:rPr>
          <w:rFonts w:ascii="Book Antiqua" w:eastAsia="Times New Roman" w:hAnsi="Book Antiqua" w:cs="Times New Roman"/>
          <w:i/>
          <w:iCs/>
          <w:color w:val="000000"/>
          <w:sz w:val="20"/>
          <w:szCs w:val="20"/>
          <w:lang w:eastAsia="sk-SK"/>
        </w:rPr>
        <w:t>Eurostat</w:t>
      </w:r>
      <w:proofErr w:type="spellEnd"/>
      <w:r w:rsidRPr="00057923">
        <w:rPr>
          <w:rFonts w:ascii="Book Antiqua" w:eastAsia="Times New Roman" w:hAnsi="Book Antiqua" w:cs="Times New Roman"/>
          <w:i/>
          <w:iCs/>
          <w:color w:val="000000"/>
          <w:sz w:val="20"/>
          <w:szCs w:val="20"/>
          <w:lang w:eastAsia="sk-SK"/>
        </w:rPr>
        <w:t>, posledná aktualizácia 23.4.2018</w:t>
      </w:r>
    </w:p>
    <w:p w:rsidR="00057923" w:rsidRPr="00057923" w:rsidRDefault="00057923" w:rsidP="00057923">
      <w:pPr>
        <w:spacing w:after="200" w:line="276" w:lineRule="auto"/>
        <w:jc w:val="both"/>
        <w:rPr>
          <w:rFonts w:ascii="Book Antiqua" w:eastAsia="Times New Roman" w:hAnsi="Book Antiqua" w:cs="Times New Roman"/>
          <w:i/>
          <w:sz w:val="20"/>
          <w:szCs w:val="20"/>
        </w:rPr>
      </w:pPr>
    </w:p>
    <w:p w:rsidR="00057923" w:rsidRPr="00057923" w:rsidRDefault="00057923" w:rsidP="00057923">
      <w:pPr>
        <w:spacing w:after="200" w:line="240" w:lineRule="auto"/>
        <w:rPr>
          <w:rFonts w:ascii="Book Antiqua" w:eastAsia="Times New Roman" w:hAnsi="Book Antiqua" w:cs="Arial"/>
          <w:b/>
          <w:i/>
          <w:lang w:eastAsia="sk-SK"/>
        </w:rPr>
      </w:pPr>
      <w:r w:rsidRPr="00057923">
        <w:rPr>
          <w:rFonts w:ascii="Book Antiqua" w:eastAsia="Times New Roman" w:hAnsi="Book Antiqua" w:cs="Arial"/>
          <w:b/>
          <w:i/>
          <w:lang w:eastAsia="sk-SK"/>
        </w:rPr>
        <w:t xml:space="preserve">Tabuľka 5: </w:t>
      </w:r>
      <w:r w:rsidRPr="00057923">
        <w:rPr>
          <w:rFonts w:ascii="Book Antiqua" w:eastAsia="Times New Roman" w:hAnsi="Book Antiqua" w:cs="Arial"/>
          <w:i/>
          <w:lang w:eastAsia="sk-SK"/>
        </w:rPr>
        <w:t>Miera zamestnanosti starších v % (55 - 64 ročné) – ženy</w:t>
      </w:r>
    </w:p>
    <w:tbl>
      <w:tblPr>
        <w:tblW w:w="5000" w:type="pct"/>
        <w:tblCellMar>
          <w:left w:w="70" w:type="dxa"/>
          <w:right w:w="70" w:type="dxa"/>
        </w:tblCellMar>
        <w:tblLook w:val="04A0" w:firstRow="1" w:lastRow="0" w:firstColumn="1" w:lastColumn="0" w:noHBand="0" w:noVBand="1"/>
      </w:tblPr>
      <w:tblGrid>
        <w:gridCol w:w="1742"/>
        <w:gridCol w:w="914"/>
        <w:gridCol w:w="914"/>
        <w:gridCol w:w="914"/>
        <w:gridCol w:w="914"/>
        <w:gridCol w:w="914"/>
        <w:gridCol w:w="914"/>
        <w:gridCol w:w="914"/>
        <w:gridCol w:w="910"/>
      </w:tblGrid>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057923" w:rsidRPr="00057923" w:rsidRDefault="00057923" w:rsidP="00057923">
            <w:pPr>
              <w:spacing w:after="0" w:line="240" w:lineRule="auto"/>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krajina/rok</w:t>
            </w:r>
          </w:p>
        </w:tc>
        <w:tc>
          <w:tcPr>
            <w:tcW w:w="505"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2010</w:t>
            </w:r>
          </w:p>
        </w:tc>
        <w:tc>
          <w:tcPr>
            <w:tcW w:w="505"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2011</w:t>
            </w:r>
          </w:p>
        </w:tc>
        <w:tc>
          <w:tcPr>
            <w:tcW w:w="505"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2012</w:t>
            </w:r>
          </w:p>
        </w:tc>
        <w:tc>
          <w:tcPr>
            <w:tcW w:w="505"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2013</w:t>
            </w:r>
          </w:p>
        </w:tc>
        <w:tc>
          <w:tcPr>
            <w:tcW w:w="505"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2014</w:t>
            </w:r>
          </w:p>
        </w:tc>
        <w:tc>
          <w:tcPr>
            <w:tcW w:w="505"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2015</w:t>
            </w:r>
          </w:p>
        </w:tc>
        <w:tc>
          <w:tcPr>
            <w:tcW w:w="505"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2016</w:t>
            </w:r>
          </w:p>
        </w:tc>
        <w:tc>
          <w:tcPr>
            <w:tcW w:w="505"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2017</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Belgicko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29,2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31,6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33,1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35,8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39,3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40,2</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42,8</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Bulharsko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39,2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39,4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41,3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43,4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54,3</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Cyprus</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40,8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38,2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38,3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36,9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39,5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43,7</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46,1</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Česká republika</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35,5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37,2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41,4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43,8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49,3</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Dánsko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63,6</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65,2</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Estónsko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65,7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66,5</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69,3</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Fínsko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60,5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62,5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63,4</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Francúzsko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46,9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48,2</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49,9</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Grécko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29,1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27,5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27,2</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28</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Holandsko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52,4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54,2</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56,6</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Chorvátsko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28,5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27,7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27,7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27,3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30,7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31,6</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32,3</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Írsko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43,4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44,7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46,4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48,9</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50,6</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Litva</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47,2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58,8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62,8</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65,2</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Lotyšsko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52,5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58,9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61,4</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62,1</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Luxembursko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31,3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31,3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34,3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32,4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33,7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32,4</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33,9</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Maďarsko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29,4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31,9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31,7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32,1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35,2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37,7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41,5</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42,4</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Malta</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14,1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18,7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26,4</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26,3</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Nemecko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60</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63,5</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65,4</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Poľsko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27,2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29,2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32,9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35,5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37,6</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39,3</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Portugalsko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43,8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44,5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46,3</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50,2</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Rakúsko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32,2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33,5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35,2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36,4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38,8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41,1</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42,8</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Rumunsko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32,6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32,2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33,1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33,2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34,2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32,1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33,6</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34,9</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lastRenderedPageBreak/>
              <w:t>Slovensko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28,7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31,4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33,6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35,7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37,2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43,5</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49,6</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Slovinsko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30,5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33,4</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37,5</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Španielsko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33,1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35,6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36,3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37,8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40,2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42,8</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43,5</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Švédsko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66,9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68,9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69,6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70,3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71,5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72,1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73,5</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74,4</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Taliansko</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28,1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30,8</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33,2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36,6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37,9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39,7</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42,3</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Veľká Británia</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54,4</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57,4</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59,1</w:t>
            </w:r>
          </w:p>
        </w:tc>
      </w:tr>
      <w:tr w:rsidR="00057923" w:rsidRPr="00057923" w:rsidTr="00A62543">
        <w:trPr>
          <w:trHeight w:val="315"/>
        </w:trPr>
        <w:tc>
          <w:tcPr>
            <w:tcW w:w="962"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 xml:space="preserve">EU-28 </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38,5</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40</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41,7</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43,3</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45,2</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46,9</w:t>
            </w:r>
          </w:p>
        </w:tc>
        <w:tc>
          <w:tcPr>
            <w:tcW w:w="505"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48,9</w:t>
            </w:r>
          </w:p>
        </w:tc>
        <w:tc>
          <w:tcPr>
            <w:tcW w:w="505"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50,9</w:t>
            </w:r>
          </w:p>
        </w:tc>
      </w:tr>
    </w:tbl>
    <w:p w:rsidR="00057923" w:rsidRPr="00057923" w:rsidRDefault="00057923" w:rsidP="00057923">
      <w:pPr>
        <w:spacing w:after="0" w:line="240" w:lineRule="auto"/>
        <w:jc w:val="both"/>
        <w:rPr>
          <w:rFonts w:ascii="Book Antiqua" w:eastAsia="Times New Roman" w:hAnsi="Book Antiqua" w:cs="Times New Roman"/>
          <w:i/>
          <w:iCs/>
          <w:color w:val="000000"/>
          <w:sz w:val="20"/>
          <w:szCs w:val="20"/>
          <w:lang w:eastAsia="sk-SK"/>
        </w:rPr>
      </w:pPr>
      <w:r w:rsidRPr="00057923">
        <w:rPr>
          <w:rFonts w:ascii="Book Antiqua" w:eastAsia="Times New Roman" w:hAnsi="Book Antiqua" w:cs="Times New Roman"/>
          <w:i/>
          <w:iCs/>
          <w:color w:val="000000"/>
          <w:sz w:val="20"/>
          <w:szCs w:val="20"/>
          <w:lang w:eastAsia="sk-SK"/>
        </w:rPr>
        <w:t xml:space="preserve">Zdroj: </w:t>
      </w:r>
      <w:proofErr w:type="spellStart"/>
      <w:r w:rsidRPr="00057923">
        <w:rPr>
          <w:rFonts w:ascii="Book Antiqua" w:eastAsia="Times New Roman" w:hAnsi="Book Antiqua" w:cs="Times New Roman"/>
          <w:i/>
          <w:iCs/>
          <w:color w:val="000000"/>
          <w:sz w:val="20"/>
          <w:szCs w:val="20"/>
          <w:lang w:eastAsia="sk-SK"/>
        </w:rPr>
        <w:t>Eurostat</w:t>
      </w:r>
      <w:proofErr w:type="spellEnd"/>
      <w:r w:rsidRPr="00057923">
        <w:rPr>
          <w:rFonts w:ascii="Book Antiqua" w:eastAsia="Times New Roman" w:hAnsi="Book Antiqua" w:cs="Times New Roman"/>
          <w:i/>
          <w:iCs/>
          <w:color w:val="000000"/>
          <w:sz w:val="20"/>
          <w:szCs w:val="20"/>
          <w:lang w:eastAsia="sk-SK"/>
        </w:rPr>
        <w:t>, posledná aktualizácia 23.4.2018</w:t>
      </w:r>
    </w:p>
    <w:p w:rsidR="00057923" w:rsidRPr="00057923" w:rsidRDefault="00057923" w:rsidP="00057923">
      <w:pPr>
        <w:spacing w:after="200" w:line="240" w:lineRule="auto"/>
        <w:rPr>
          <w:rFonts w:ascii="Book Antiqua" w:eastAsia="Times New Roman" w:hAnsi="Book Antiqua" w:cs="Arial"/>
          <w:b/>
          <w:i/>
          <w:lang w:eastAsia="sk-SK"/>
        </w:rPr>
      </w:pPr>
    </w:p>
    <w:p w:rsidR="00057923" w:rsidRPr="00057923" w:rsidRDefault="00057923" w:rsidP="00057923">
      <w:pPr>
        <w:spacing w:after="200" w:line="240" w:lineRule="auto"/>
        <w:rPr>
          <w:rFonts w:ascii="Book Antiqua" w:eastAsia="Times New Roman" w:hAnsi="Book Antiqua" w:cs="Arial"/>
          <w:b/>
          <w:i/>
          <w:lang w:eastAsia="sk-SK"/>
        </w:rPr>
      </w:pPr>
      <w:r w:rsidRPr="00057923">
        <w:rPr>
          <w:rFonts w:ascii="Book Antiqua" w:eastAsia="Times New Roman" w:hAnsi="Book Antiqua" w:cs="Arial"/>
          <w:b/>
          <w:i/>
          <w:lang w:eastAsia="sk-SK"/>
        </w:rPr>
        <w:t xml:space="preserve">Tabuľka 6: </w:t>
      </w:r>
      <w:r w:rsidRPr="00057923">
        <w:rPr>
          <w:rFonts w:ascii="Book Antiqua" w:eastAsia="Times New Roman" w:hAnsi="Book Antiqua" w:cs="Arial"/>
          <w:i/>
          <w:lang w:eastAsia="sk-SK"/>
        </w:rPr>
        <w:t>Stredná dĺžka života vo veku 62 rokov – muži</w:t>
      </w:r>
    </w:p>
    <w:tbl>
      <w:tblPr>
        <w:tblW w:w="5000" w:type="pct"/>
        <w:tblCellMar>
          <w:left w:w="70" w:type="dxa"/>
          <w:right w:w="70" w:type="dxa"/>
        </w:tblCellMar>
        <w:tblLook w:val="04A0" w:firstRow="1" w:lastRow="0" w:firstColumn="1" w:lastColumn="0" w:noHBand="0" w:noVBand="1"/>
      </w:tblPr>
      <w:tblGrid>
        <w:gridCol w:w="1623"/>
        <w:gridCol w:w="1061"/>
        <w:gridCol w:w="1061"/>
        <w:gridCol w:w="1061"/>
        <w:gridCol w:w="1061"/>
        <w:gridCol w:w="1061"/>
        <w:gridCol w:w="1061"/>
        <w:gridCol w:w="1061"/>
      </w:tblGrid>
      <w:tr w:rsidR="00057923" w:rsidRPr="00057923" w:rsidTr="00A62543">
        <w:trPr>
          <w:trHeight w:val="315"/>
        </w:trPr>
        <w:tc>
          <w:tcPr>
            <w:tcW w:w="897" w:type="pct"/>
            <w:tcBorders>
              <w:top w:val="single" w:sz="8" w:space="0" w:color="000000"/>
              <w:left w:val="single" w:sz="8" w:space="0" w:color="auto"/>
              <w:bottom w:val="single" w:sz="8" w:space="0" w:color="auto"/>
              <w:right w:val="single" w:sz="4" w:space="0" w:color="auto"/>
            </w:tcBorders>
            <w:shd w:val="clear" w:color="000000" w:fill="A6A6A6"/>
            <w:noWrap/>
            <w:vAlign w:val="center"/>
            <w:hideMark/>
          </w:tcPr>
          <w:p w:rsidR="00057923" w:rsidRPr="00057923" w:rsidRDefault="00057923" w:rsidP="00057923">
            <w:pPr>
              <w:spacing w:after="0" w:line="240" w:lineRule="auto"/>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krajina /rok</w:t>
            </w:r>
          </w:p>
        </w:tc>
        <w:tc>
          <w:tcPr>
            <w:tcW w:w="586" w:type="pct"/>
            <w:tcBorders>
              <w:top w:val="single" w:sz="8" w:space="0" w:color="000000"/>
              <w:left w:val="single" w:sz="4" w:space="0" w:color="auto"/>
              <w:bottom w:val="single" w:sz="8" w:space="0" w:color="auto"/>
              <w:right w:val="single" w:sz="4"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2010</w:t>
            </w:r>
          </w:p>
        </w:tc>
        <w:tc>
          <w:tcPr>
            <w:tcW w:w="586" w:type="pct"/>
            <w:tcBorders>
              <w:top w:val="single" w:sz="8" w:space="0" w:color="000000"/>
              <w:left w:val="single" w:sz="4" w:space="0" w:color="auto"/>
              <w:bottom w:val="single" w:sz="8" w:space="0" w:color="auto"/>
              <w:right w:val="single" w:sz="4"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2011</w:t>
            </w:r>
          </w:p>
        </w:tc>
        <w:tc>
          <w:tcPr>
            <w:tcW w:w="586" w:type="pct"/>
            <w:tcBorders>
              <w:top w:val="single" w:sz="8" w:space="0" w:color="000000"/>
              <w:left w:val="single" w:sz="4" w:space="0" w:color="auto"/>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2012</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2013</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2014</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2015</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2016</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Belgicko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20,7</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Bulharsko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16,0</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Cyprus</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21,5</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Česká republika</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18,2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18,0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18,3</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Dánsko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20,5</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Estónsko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17,5</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Fínsko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20,5</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Francúzsko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21,8</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Grécko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21,1</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Holandsko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20,9</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Chorvátsko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17,6</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Írsko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21,0</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Litva</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15,9</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Lotyšsko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14,7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15,7</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Luxembursko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21,3</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Maďarsko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16,4</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Malta</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22,2</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Nemecko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20,3</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Poľsko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17,9</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Portugalsko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20,3</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Rakúsko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20,8</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Rumunsko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16,6</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Slovensko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17,2</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Slovinsko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Španielsko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21,7</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Švédsko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20,5</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Taliansko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21,8</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Veľká Británia</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21,2</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 xml:space="preserve">EU-28 </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20,4</w:t>
            </w:r>
          </w:p>
        </w:tc>
      </w:tr>
    </w:tbl>
    <w:p w:rsidR="00057923" w:rsidRPr="00057923" w:rsidRDefault="00057923" w:rsidP="00057923">
      <w:pPr>
        <w:spacing w:after="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 xml:space="preserve">Zdroj: </w:t>
      </w:r>
      <w:proofErr w:type="spellStart"/>
      <w:r w:rsidRPr="00057923">
        <w:rPr>
          <w:rFonts w:ascii="Book Antiqua" w:eastAsia="Times New Roman" w:hAnsi="Book Antiqua" w:cs="Times New Roman"/>
          <w:i/>
          <w:sz w:val="20"/>
          <w:szCs w:val="20"/>
        </w:rPr>
        <w:t>Eurostat</w:t>
      </w:r>
      <w:proofErr w:type="spellEnd"/>
      <w:r w:rsidRPr="00057923">
        <w:rPr>
          <w:rFonts w:ascii="Book Antiqua" w:eastAsia="Times New Roman" w:hAnsi="Book Antiqua" w:cs="Times New Roman"/>
          <w:i/>
          <w:sz w:val="20"/>
          <w:szCs w:val="20"/>
        </w:rPr>
        <w:t>, posledná aktualizácia 15.3.2018</w:t>
      </w:r>
    </w:p>
    <w:p w:rsidR="00057923" w:rsidRPr="00057923" w:rsidRDefault="00057923" w:rsidP="00057923">
      <w:pPr>
        <w:spacing w:after="0" w:line="276" w:lineRule="auto"/>
        <w:jc w:val="both"/>
        <w:rPr>
          <w:rFonts w:ascii="Book Antiqua" w:eastAsia="Times New Roman" w:hAnsi="Book Antiqua" w:cs="Times New Roman"/>
          <w:i/>
          <w:sz w:val="20"/>
          <w:szCs w:val="20"/>
        </w:rPr>
      </w:pPr>
    </w:p>
    <w:p w:rsidR="00057923" w:rsidRPr="00057923" w:rsidRDefault="00057923" w:rsidP="00057923">
      <w:pPr>
        <w:spacing w:after="0" w:line="276" w:lineRule="auto"/>
        <w:jc w:val="both"/>
        <w:rPr>
          <w:rFonts w:ascii="Book Antiqua" w:eastAsia="Times New Roman" w:hAnsi="Book Antiqua" w:cs="Times New Roman"/>
          <w:i/>
          <w:sz w:val="20"/>
          <w:szCs w:val="20"/>
        </w:rPr>
      </w:pPr>
    </w:p>
    <w:p w:rsidR="00057923" w:rsidRPr="00057923" w:rsidRDefault="00057923" w:rsidP="00057923">
      <w:pPr>
        <w:spacing w:after="200" w:line="276" w:lineRule="auto"/>
        <w:jc w:val="both"/>
        <w:rPr>
          <w:rFonts w:ascii="Book Antiqua" w:eastAsia="Times New Roman" w:hAnsi="Book Antiqua" w:cs="Times New Roman"/>
          <w:i/>
        </w:rPr>
      </w:pPr>
      <w:r w:rsidRPr="00057923">
        <w:rPr>
          <w:rFonts w:ascii="Book Antiqua" w:eastAsia="Times New Roman" w:hAnsi="Book Antiqua" w:cs="Times New Roman"/>
          <w:b/>
          <w:i/>
        </w:rPr>
        <w:t xml:space="preserve">Tabuľka 7: </w:t>
      </w:r>
      <w:r w:rsidRPr="00057923">
        <w:rPr>
          <w:rFonts w:ascii="Book Antiqua" w:eastAsia="Times New Roman" w:hAnsi="Book Antiqua" w:cs="Times New Roman"/>
          <w:i/>
        </w:rPr>
        <w:t>Stredná dĺžka života vo veku 62 rokov – ženy</w:t>
      </w:r>
    </w:p>
    <w:tbl>
      <w:tblPr>
        <w:tblW w:w="5000" w:type="pct"/>
        <w:tblCellMar>
          <w:left w:w="70" w:type="dxa"/>
          <w:right w:w="70" w:type="dxa"/>
        </w:tblCellMar>
        <w:tblLook w:val="04A0" w:firstRow="1" w:lastRow="0" w:firstColumn="1" w:lastColumn="0" w:noHBand="0" w:noVBand="1"/>
      </w:tblPr>
      <w:tblGrid>
        <w:gridCol w:w="1626"/>
        <w:gridCol w:w="1062"/>
        <w:gridCol w:w="1062"/>
        <w:gridCol w:w="1062"/>
        <w:gridCol w:w="1062"/>
        <w:gridCol w:w="1062"/>
        <w:gridCol w:w="1062"/>
        <w:gridCol w:w="1062"/>
      </w:tblGrid>
      <w:tr w:rsidR="00057923" w:rsidRPr="00057923" w:rsidTr="00A62543">
        <w:trPr>
          <w:trHeight w:val="315"/>
        </w:trPr>
        <w:tc>
          <w:tcPr>
            <w:tcW w:w="897"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krajina /rok</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2010</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2011</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2012</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2013</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2014</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2015</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2016</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Belgicko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23,8</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24,1</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23,8</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24,5</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Bulharsko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19,8</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19,7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20,3</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Cyprus</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23,1</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24,4</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Česká republika</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21,8</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22,5</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Dánsko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22,1</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23,2</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Estónsko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22,8</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23,1</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23,4</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Fínsko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24,1</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24,4</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Francúzsko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26,1</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26,3</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Grécko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23,8</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24,3</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Holandsko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23,7</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Chorvátsko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21,7</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Írsko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23,7</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Litva</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21,1</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21,8</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Lotyšsko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20,8</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21,4</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Luxembursko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24,1</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24,1</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25,3</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Maďarsko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21,0</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Malta</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24,1</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24,8</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Nemecko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23,9</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Poľsko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22,8</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22,9</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Portugalsko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24,5</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Rakúsko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24,3</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Rumunsko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20,1</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20,7</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Slovensko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20,9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21,7</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Slovinsko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24,3</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Španielsko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26,1</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26,2</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Švédsko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24,1</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24,1</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Taliansko</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24,8</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24,8</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24,8</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25,5</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Veľká Británia</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23,8</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23,7</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 xml:space="preserve">EU-28 </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23,8</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23,8</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24,1</w:t>
            </w:r>
          </w:p>
        </w:tc>
      </w:tr>
    </w:tbl>
    <w:p w:rsidR="00057923" w:rsidRPr="00057923" w:rsidRDefault="00057923" w:rsidP="00057923">
      <w:pPr>
        <w:spacing w:after="200" w:line="276" w:lineRule="auto"/>
        <w:jc w:val="both"/>
        <w:rPr>
          <w:rFonts w:ascii="Book Antiqua" w:eastAsia="Times New Roman" w:hAnsi="Book Antiqua" w:cs="Times New Roman"/>
          <w:i/>
          <w:sz w:val="20"/>
          <w:szCs w:val="20"/>
        </w:rPr>
      </w:pPr>
      <w:r w:rsidRPr="00057923">
        <w:rPr>
          <w:rFonts w:ascii="Book Antiqua" w:eastAsia="Times New Roman" w:hAnsi="Book Antiqua" w:cs="Times New Roman"/>
          <w:i/>
          <w:sz w:val="20"/>
          <w:szCs w:val="20"/>
        </w:rPr>
        <w:t xml:space="preserve">Zdroj: </w:t>
      </w:r>
      <w:proofErr w:type="spellStart"/>
      <w:r w:rsidRPr="00057923">
        <w:rPr>
          <w:rFonts w:ascii="Book Antiqua" w:eastAsia="Times New Roman" w:hAnsi="Book Antiqua" w:cs="Times New Roman"/>
          <w:i/>
          <w:sz w:val="20"/>
          <w:szCs w:val="20"/>
        </w:rPr>
        <w:t>Eurostat</w:t>
      </w:r>
      <w:proofErr w:type="spellEnd"/>
      <w:r w:rsidRPr="00057923">
        <w:rPr>
          <w:rFonts w:ascii="Book Antiqua" w:eastAsia="Times New Roman" w:hAnsi="Book Antiqua" w:cs="Times New Roman"/>
          <w:i/>
          <w:sz w:val="20"/>
          <w:szCs w:val="20"/>
        </w:rPr>
        <w:t>, posledná aktualizácia 15.3.2018</w:t>
      </w: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i/>
        </w:rPr>
      </w:pPr>
      <w:r w:rsidRPr="00057923">
        <w:rPr>
          <w:rFonts w:ascii="Book Antiqua" w:eastAsia="Times New Roman" w:hAnsi="Book Antiqua" w:cs="Times New Roman"/>
          <w:b/>
          <w:i/>
        </w:rPr>
        <w:t xml:space="preserve">Tabuľka 8: </w:t>
      </w:r>
      <w:r w:rsidRPr="00057923">
        <w:rPr>
          <w:rFonts w:ascii="Book Antiqua" w:eastAsia="Times New Roman" w:hAnsi="Book Antiqua" w:cs="Times New Roman"/>
          <w:i/>
        </w:rPr>
        <w:t>Zdravé roky života v absolútnych hodnotách vo veku 65 rokov – muži</w:t>
      </w:r>
    </w:p>
    <w:tbl>
      <w:tblPr>
        <w:tblW w:w="5000" w:type="pct"/>
        <w:tblCellMar>
          <w:left w:w="70" w:type="dxa"/>
          <w:right w:w="70" w:type="dxa"/>
        </w:tblCellMar>
        <w:tblLook w:val="04A0" w:firstRow="1" w:lastRow="0" w:firstColumn="1" w:lastColumn="0" w:noHBand="0" w:noVBand="1"/>
      </w:tblPr>
      <w:tblGrid>
        <w:gridCol w:w="1626"/>
        <w:gridCol w:w="1062"/>
        <w:gridCol w:w="1062"/>
        <w:gridCol w:w="1062"/>
        <w:gridCol w:w="1062"/>
        <w:gridCol w:w="1062"/>
        <w:gridCol w:w="1062"/>
        <w:gridCol w:w="1062"/>
      </w:tblGrid>
      <w:tr w:rsidR="00057923" w:rsidRPr="00057923" w:rsidTr="00A62543">
        <w:trPr>
          <w:trHeight w:val="315"/>
        </w:trPr>
        <w:tc>
          <w:tcPr>
            <w:tcW w:w="897"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krajina/rok</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2010</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2011</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2012</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2013</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2014</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2015</w:t>
            </w:r>
          </w:p>
        </w:tc>
        <w:tc>
          <w:tcPr>
            <w:tcW w:w="586"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20"/>
                <w:szCs w:val="20"/>
                <w:lang w:eastAsia="sk-SK"/>
              </w:rPr>
            </w:pPr>
            <w:r w:rsidRPr="00057923">
              <w:rPr>
                <w:rFonts w:ascii="Book Antiqua" w:eastAsia="Times New Roman" w:hAnsi="Book Antiqua" w:cs="Times New Roman"/>
                <w:b/>
                <w:bCs/>
                <w:color w:val="FFFFFF"/>
                <w:sz w:val="20"/>
                <w:szCs w:val="20"/>
                <w:lang w:eastAsia="sk-SK"/>
              </w:rPr>
              <w:t>2016</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Belgicko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10,3</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Bulharsko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9,2</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Cyprus</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11,2</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lastRenderedPageBreak/>
              <w:t>Česká republika</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8,4</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Dánsko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11,5</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Estónsko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Fínsko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9,4</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Francúzsko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9,8</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9,5</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Grécko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8,0</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Holandsko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10,3</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Chorvátsko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5,2</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Írsko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12,0</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Litva</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Lotyšsko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4,1</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4,4</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Luxembursko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9,5</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Maďarsko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6,7</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Malta</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12,8</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Nemecko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7,0</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11,5</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Poľsko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7,6</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8,2</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Portugalsko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7,0</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7,7</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Rakúsko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7,9</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8,2</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Rumunsko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6,2</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Slovensko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4,1</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Slovinsko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8,4</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Španielsko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9,5</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10,4</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Švédsko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12,3</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12,9</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15,2</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15,7</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15,1</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Taliansko</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7,8</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10,4</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Veľká Británia</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10,8</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10,2</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10,4</w:t>
            </w:r>
          </w:p>
        </w:tc>
      </w:tr>
      <w:tr w:rsidR="00057923" w:rsidRPr="00057923" w:rsidTr="00A62543">
        <w:trPr>
          <w:trHeight w:val="315"/>
        </w:trPr>
        <w:tc>
          <w:tcPr>
            <w:tcW w:w="897"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 xml:space="preserve">EU-28 </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8,7</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8,5</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8,6</w:t>
            </w:r>
          </w:p>
        </w:tc>
        <w:tc>
          <w:tcPr>
            <w:tcW w:w="586" w:type="pct"/>
            <w:tcBorders>
              <w:top w:val="nil"/>
              <w:left w:val="nil"/>
              <w:bottom w:val="single" w:sz="8" w:space="0" w:color="000000"/>
              <w:right w:val="single" w:sz="8" w:space="0" w:color="000000"/>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9,4</w:t>
            </w:r>
          </w:p>
        </w:tc>
        <w:tc>
          <w:tcPr>
            <w:tcW w:w="586"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9,8</w:t>
            </w:r>
          </w:p>
        </w:tc>
      </w:tr>
    </w:tbl>
    <w:p w:rsidR="00057923" w:rsidRPr="00057923" w:rsidRDefault="00057923" w:rsidP="00057923">
      <w:pPr>
        <w:spacing w:after="200" w:line="276" w:lineRule="auto"/>
        <w:jc w:val="both"/>
        <w:rPr>
          <w:rFonts w:ascii="Book Antiqua" w:eastAsia="Times New Roman" w:hAnsi="Book Antiqua" w:cs="Times New Roman"/>
          <w:i/>
          <w:sz w:val="20"/>
        </w:rPr>
      </w:pPr>
      <w:r w:rsidRPr="00057923">
        <w:rPr>
          <w:rFonts w:ascii="Book Antiqua" w:eastAsia="Times New Roman" w:hAnsi="Book Antiqua" w:cs="Times New Roman"/>
          <w:i/>
          <w:sz w:val="20"/>
        </w:rPr>
        <w:t xml:space="preserve">Zdroj: </w:t>
      </w:r>
      <w:proofErr w:type="spellStart"/>
      <w:r w:rsidRPr="00057923">
        <w:rPr>
          <w:rFonts w:ascii="Book Antiqua" w:eastAsia="Times New Roman" w:hAnsi="Book Antiqua" w:cs="Times New Roman"/>
          <w:i/>
          <w:sz w:val="20"/>
        </w:rPr>
        <w:t>Eurostat</w:t>
      </w:r>
      <w:proofErr w:type="spellEnd"/>
      <w:r w:rsidRPr="00057923">
        <w:rPr>
          <w:rFonts w:ascii="Book Antiqua" w:eastAsia="Times New Roman" w:hAnsi="Book Antiqua" w:cs="Times New Roman"/>
          <w:i/>
          <w:sz w:val="20"/>
        </w:rPr>
        <w:t>, posledná aktualizácia 3.5.2018</w:t>
      </w: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i/>
        </w:rPr>
      </w:pPr>
      <w:r w:rsidRPr="00057923">
        <w:rPr>
          <w:rFonts w:ascii="Book Antiqua" w:eastAsia="Times New Roman" w:hAnsi="Book Antiqua" w:cs="Times New Roman"/>
          <w:b/>
          <w:i/>
        </w:rPr>
        <w:t xml:space="preserve">Tabuľka 9: </w:t>
      </w:r>
      <w:r w:rsidRPr="00057923">
        <w:rPr>
          <w:rFonts w:ascii="Book Antiqua" w:eastAsia="Times New Roman" w:hAnsi="Book Antiqua" w:cs="Times New Roman"/>
          <w:i/>
        </w:rPr>
        <w:t>Zdravé roky života v absolútnych hodnotách vo veku 65 rokov – ženy</w:t>
      </w:r>
    </w:p>
    <w:tbl>
      <w:tblPr>
        <w:tblW w:w="5000" w:type="pct"/>
        <w:tblCellMar>
          <w:left w:w="70" w:type="dxa"/>
          <w:right w:w="70" w:type="dxa"/>
        </w:tblCellMar>
        <w:tblLook w:val="04A0" w:firstRow="1" w:lastRow="0" w:firstColumn="1" w:lastColumn="0" w:noHBand="0" w:noVBand="1"/>
      </w:tblPr>
      <w:tblGrid>
        <w:gridCol w:w="1605"/>
        <w:gridCol w:w="1063"/>
        <w:gridCol w:w="1064"/>
        <w:gridCol w:w="1064"/>
        <w:gridCol w:w="1064"/>
        <w:gridCol w:w="1064"/>
        <w:gridCol w:w="1064"/>
        <w:gridCol w:w="1062"/>
      </w:tblGrid>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057923" w:rsidRPr="00057923" w:rsidRDefault="00057923" w:rsidP="00057923">
            <w:pPr>
              <w:spacing w:after="0" w:line="240" w:lineRule="auto"/>
              <w:rPr>
                <w:rFonts w:ascii="Book Antiqua" w:eastAsia="Times New Roman" w:hAnsi="Book Antiqua" w:cs="Times New Roman"/>
                <w:b/>
                <w:bCs/>
                <w:color w:val="FFFFFF"/>
                <w:sz w:val="18"/>
                <w:szCs w:val="18"/>
                <w:lang w:eastAsia="sk-SK"/>
              </w:rPr>
            </w:pPr>
            <w:r w:rsidRPr="00057923">
              <w:rPr>
                <w:rFonts w:ascii="Book Antiqua" w:eastAsia="Times New Roman" w:hAnsi="Book Antiqua" w:cs="Times New Roman"/>
                <w:b/>
                <w:bCs/>
                <w:color w:val="FFFFFF"/>
                <w:sz w:val="18"/>
                <w:szCs w:val="18"/>
                <w:lang w:eastAsia="sk-SK"/>
              </w:rPr>
              <w:t>krajina/rok</w:t>
            </w:r>
          </w:p>
        </w:tc>
        <w:tc>
          <w:tcPr>
            <w:tcW w:w="587"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18"/>
                <w:szCs w:val="18"/>
                <w:lang w:eastAsia="sk-SK"/>
              </w:rPr>
            </w:pPr>
            <w:r w:rsidRPr="00057923">
              <w:rPr>
                <w:rFonts w:ascii="Book Antiqua" w:eastAsia="Times New Roman" w:hAnsi="Book Antiqua" w:cs="Times New Roman"/>
                <w:b/>
                <w:bCs/>
                <w:color w:val="FFFFFF"/>
                <w:sz w:val="18"/>
                <w:szCs w:val="18"/>
                <w:lang w:eastAsia="sk-SK"/>
              </w:rPr>
              <w:t>2010</w:t>
            </w:r>
          </w:p>
        </w:tc>
        <w:tc>
          <w:tcPr>
            <w:tcW w:w="588"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18"/>
                <w:szCs w:val="18"/>
                <w:lang w:eastAsia="sk-SK"/>
              </w:rPr>
            </w:pPr>
            <w:r w:rsidRPr="00057923">
              <w:rPr>
                <w:rFonts w:ascii="Book Antiqua" w:eastAsia="Times New Roman" w:hAnsi="Book Antiqua" w:cs="Times New Roman"/>
                <w:b/>
                <w:bCs/>
                <w:color w:val="FFFFFF"/>
                <w:sz w:val="18"/>
                <w:szCs w:val="18"/>
                <w:lang w:eastAsia="sk-SK"/>
              </w:rPr>
              <w:t>2011</w:t>
            </w:r>
          </w:p>
        </w:tc>
        <w:tc>
          <w:tcPr>
            <w:tcW w:w="588"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18"/>
                <w:szCs w:val="18"/>
                <w:lang w:eastAsia="sk-SK"/>
              </w:rPr>
            </w:pPr>
            <w:r w:rsidRPr="00057923">
              <w:rPr>
                <w:rFonts w:ascii="Book Antiqua" w:eastAsia="Times New Roman" w:hAnsi="Book Antiqua" w:cs="Times New Roman"/>
                <w:b/>
                <w:bCs/>
                <w:color w:val="FFFFFF"/>
                <w:sz w:val="18"/>
                <w:szCs w:val="18"/>
                <w:lang w:eastAsia="sk-SK"/>
              </w:rPr>
              <w:t>2012</w:t>
            </w:r>
          </w:p>
        </w:tc>
        <w:tc>
          <w:tcPr>
            <w:tcW w:w="588"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18"/>
                <w:szCs w:val="18"/>
                <w:lang w:eastAsia="sk-SK"/>
              </w:rPr>
            </w:pPr>
            <w:r w:rsidRPr="00057923">
              <w:rPr>
                <w:rFonts w:ascii="Book Antiqua" w:eastAsia="Times New Roman" w:hAnsi="Book Antiqua" w:cs="Times New Roman"/>
                <w:b/>
                <w:bCs/>
                <w:color w:val="FFFFFF"/>
                <w:sz w:val="18"/>
                <w:szCs w:val="18"/>
                <w:lang w:eastAsia="sk-SK"/>
              </w:rPr>
              <w:t>2013</w:t>
            </w:r>
          </w:p>
        </w:tc>
        <w:tc>
          <w:tcPr>
            <w:tcW w:w="588"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18"/>
                <w:szCs w:val="18"/>
                <w:lang w:eastAsia="sk-SK"/>
              </w:rPr>
            </w:pPr>
            <w:r w:rsidRPr="00057923">
              <w:rPr>
                <w:rFonts w:ascii="Book Antiqua" w:eastAsia="Times New Roman" w:hAnsi="Book Antiqua" w:cs="Times New Roman"/>
                <w:b/>
                <w:bCs/>
                <w:color w:val="FFFFFF"/>
                <w:sz w:val="18"/>
                <w:szCs w:val="18"/>
                <w:lang w:eastAsia="sk-SK"/>
              </w:rPr>
              <w:t>2014</w:t>
            </w:r>
          </w:p>
        </w:tc>
        <w:tc>
          <w:tcPr>
            <w:tcW w:w="588"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18"/>
                <w:szCs w:val="18"/>
                <w:lang w:eastAsia="sk-SK"/>
              </w:rPr>
            </w:pPr>
            <w:r w:rsidRPr="00057923">
              <w:rPr>
                <w:rFonts w:ascii="Book Antiqua" w:eastAsia="Times New Roman" w:hAnsi="Book Antiqua" w:cs="Times New Roman"/>
                <w:b/>
                <w:bCs/>
                <w:color w:val="FFFFFF"/>
                <w:sz w:val="18"/>
                <w:szCs w:val="18"/>
                <w:lang w:eastAsia="sk-SK"/>
              </w:rPr>
              <w:t>2015</w:t>
            </w:r>
          </w:p>
        </w:tc>
        <w:tc>
          <w:tcPr>
            <w:tcW w:w="587" w:type="pct"/>
            <w:tcBorders>
              <w:top w:val="single" w:sz="8" w:space="0" w:color="auto"/>
              <w:left w:val="nil"/>
              <w:bottom w:val="single" w:sz="8" w:space="0" w:color="auto"/>
              <w:right w:val="single" w:sz="8" w:space="0" w:color="auto"/>
            </w:tcBorders>
            <w:shd w:val="clear" w:color="000000" w:fill="A6A6A6"/>
            <w:noWrap/>
            <w:vAlign w:val="center"/>
            <w:hideMark/>
          </w:tcPr>
          <w:p w:rsidR="00057923" w:rsidRPr="00057923" w:rsidRDefault="00057923" w:rsidP="00057923">
            <w:pPr>
              <w:spacing w:after="0" w:line="240" w:lineRule="auto"/>
              <w:jc w:val="center"/>
              <w:rPr>
                <w:rFonts w:ascii="Book Antiqua" w:eastAsia="Times New Roman" w:hAnsi="Book Antiqua" w:cs="Times New Roman"/>
                <w:b/>
                <w:bCs/>
                <w:color w:val="FFFFFF"/>
                <w:sz w:val="18"/>
                <w:szCs w:val="18"/>
                <w:lang w:eastAsia="sk-SK"/>
              </w:rPr>
            </w:pPr>
            <w:r w:rsidRPr="00057923">
              <w:rPr>
                <w:rFonts w:ascii="Book Antiqua" w:eastAsia="Times New Roman" w:hAnsi="Book Antiqua" w:cs="Times New Roman"/>
                <w:b/>
                <w:bCs/>
                <w:color w:val="FFFFFF"/>
                <w:sz w:val="18"/>
                <w:szCs w:val="18"/>
                <w:lang w:eastAsia="sk-SK"/>
              </w:rPr>
              <w:t>2016</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Belgicko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10,3</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11,0</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11,0</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11,0</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11,4</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Bulharsko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9,5</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9,6</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9,5</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10,1</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Cyprus</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7,3</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10,3</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Česká republika</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9,3</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8,6</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8,9</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Dánsko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11,9</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11,9</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Estónsko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6,0</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5,3</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7,0</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Fínsko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8,6</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9,0</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9,3</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9,0</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8,9</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Francúzsko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10,4</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10,7</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10,6</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Grécko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8,2</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7,3</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7,1</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7,5</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7,8</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Holandsko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9,5</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10,1</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9,2</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10,2</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9,4</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9,9</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lastRenderedPageBreak/>
              <w:t>Chorvátsko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6,5</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7,3</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4,9</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Írsko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11,1</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12,2</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12,1</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12,3</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12,0</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13,2</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Litva</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Lotyšsko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5,5</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5,0</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6,4</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4,6</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4,0</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4,5</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Luxembursko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12,4</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10,6</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8,7</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8,0</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Maďarsko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6,0</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6,4</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6,1</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5,9</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6,4</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Malta</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11,0</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12,3</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14,0</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12,9</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Nemecko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7,1</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7,3</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7,0</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12,3</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12,4</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Poľsko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7,5</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8,3</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8,1</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8,4</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8,9</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Portugalsko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6,3</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9,0</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9,3</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5,4</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6,4</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Rakúsko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8,3</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9,5</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7,7</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7,4</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Rumunsko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5,1</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5,2</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5,7</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5,6</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Slovensko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2,9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3,1</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3,6</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3,8</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4,2</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Slovinsko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7,2</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6,9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7,6</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8,6</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7,6</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8,2</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Španielsko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9,1</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9,2</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9,0</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9,0</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9,4</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8,9</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10,4</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Švédsko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13,2</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13,8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16,8</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16,6</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Taliansko</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7,0</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7,1</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7,1</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7,3</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7,5</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10,1</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Veľká Británia</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11,9</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10,5</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10,7</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10,6</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10,4</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11,1</w:t>
            </w:r>
          </w:p>
        </w:tc>
      </w:tr>
      <w:tr w:rsidR="00057923" w:rsidRPr="00057923" w:rsidTr="00A62543">
        <w:trPr>
          <w:trHeight w:val="315"/>
        </w:trPr>
        <w:tc>
          <w:tcPr>
            <w:tcW w:w="886" w:type="pct"/>
            <w:tcBorders>
              <w:top w:val="single" w:sz="8" w:space="0" w:color="auto"/>
              <w:left w:val="single" w:sz="8" w:space="0" w:color="auto"/>
              <w:bottom w:val="single" w:sz="8" w:space="0" w:color="auto"/>
              <w:right w:val="single" w:sz="8" w:space="0" w:color="000000"/>
            </w:tcBorders>
            <w:noWrap/>
            <w:vAlign w:val="center"/>
            <w:hideMark/>
          </w:tcPr>
          <w:p w:rsidR="00057923" w:rsidRPr="00057923" w:rsidRDefault="00057923" w:rsidP="00057923">
            <w:pPr>
              <w:spacing w:after="0" w:line="240" w:lineRule="auto"/>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 xml:space="preserve">EU-28 </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8,8</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8,6</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8,5</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8,6</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8,6</w:t>
            </w:r>
          </w:p>
        </w:tc>
        <w:tc>
          <w:tcPr>
            <w:tcW w:w="588"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9,4</w:t>
            </w:r>
          </w:p>
        </w:tc>
        <w:tc>
          <w:tcPr>
            <w:tcW w:w="587"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Times New Roman"/>
                <w:color w:val="000000"/>
                <w:sz w:val="20"/>
                <w:szCs w:val="20"/>
                <w:lang w:eastAsia="sk-SK"/>
              </w:rPr>
            </w:pPr>
            <w:r w:rsidRPr="00057923">
              <w:rPr>
                <w:rFonts w:ascii="Book Antiqua" w:eastAsia="Times New Roman" w:hAnsi="Book Antiqua" w:cs="Times New Roman"/>
                <w:color w:val="000000"/>
                <w:sz w:val="20"/>
                <w:szCs w:val="20"/>
                <w:lang w:eastAsia="sk-SK"/>
              </w:rPr>
              <w:t>10,1</w:t>
            </w:r>
          </w:p>
        </w:tc>
      </w:tr>
    </w:tbl>
    <w:p w:rsidR="00057923" w:rsidRPr="00057923" w:rsidRDefault="00057923" w:rsidP="00057923">
      <w:pPr>
        <w:spacing w:after="200" w:line="276" w:lineRule="auto"/>
        <w:jc w:val="both"/>
        <w:rPr>
          <w:rFonts w:ascii="Book Antiqua" w:eastAsia="Times New Roman" w:hAnsi="Book Antiqua" w:cs="Times New Roman"/>
          <w:i/>
          <w:sz w:val="20"/>
        </w:rPr>
      </w:pPr>
      <w:r w:rsidRPr="00057923">
        <w:rPr>
          <w:rFonts w:ascii="Book Antiqua" w:eastAsia="Times New Roman" w:hAnsi="Book Antiqua" w:cs="Times New Roman"/>
          <w:i/>
          <w:sz w:val="20"/>
        </w:rPr>
        <w:t xml:space="preserve">Zdroj: </w:t>
      </w:r>
      <w:proofErr w:type="spellStart"/>
      <w:r w:rsidRPr="00057923">
        <w:rPr>
          <w:rFonts w:ascii="Book Antiqua" w:eastAsia="Times New Roman" w:hAnsi="Book Antiqua" w:cs="Times New Roman"/>
          <w:i/>
          <w:sz w:val="20"/>
        </w:rPr>
        <w:t>Eurostat</w:t>
      </w:r>
      <w:proofErr w:type="spellEnd"/>
      <w:r w:rsidRPr="00057923">
        <w:rPr>
          <w:rFonts w:ascii="Book Antiqua" w:eastAsia="Times New Roman" w:hAnsi="Book Antiqua" w:cs="Times New Roman"/>
          <w:i/>
          <w:sz w:val="20"/>
        </w:rPr>
        <w:t>, posledná aktualizácia 3.5.2018</w:t>
      </w:r>
    </w:p>
    <w:p w:rsidR="00057923" w:rsidRPr="00057923" w:rsidRDefault="00057923" w:rsidP="00057923">
      <w:pPr>
        <w:spacing w:after="200" w:line="276" w:lineRule="auto"/>
        <w:jc w:val="both"/>
        <w:rPr>
          <w:rFonts w:ascii="Book Antiqua" w:eastAsia="Times New Roman" w:hAnsi="Book Antiqua" w:cs="Times New Roman"/>
          <w:b/>
          <w:i/>
        </w:rPr>
      </w:pPr>
    </w:p>
    <w:p w:rsidR="00057923" w:rsidRPr="00057923" w:rsidRDefault="00057923" w:rsidP="00057923">
      <w:pPr>
        <w:spacing w:after="200" w:line="276" w:lineRule="auto"/>
        <w:jc w:val="both"/>
        <w:rPr>
          <w:rFonts w:ascii="Book Antiqua" w:eastAsia="Times New Roman" w:hAnsi="Book Antiqua" w:cs="Times New Roman"/>
          <w:i/>
        </w:rPr>
      </w:pPr>
      <w:r w:rsidRPr="00057923">
        <w:rPr>
          <w:rFonts w:ascii="Book Antiqua" w:eastAsia="Times New Roman" w:hAnsi="Book Antiqua" w:cs="Times New Roman"/>
          <w:b/>
          <w:i/>
        </w:rPr>
        <w:t>Tabuľka 10:</w:t>
      </w:r>
      <w:r w:rsidRPr="00057923">
        <w:rPr>
          <w:rFonts w:ascii="Book Antiqua" w:eastAsia="Times New Roman" w:hAnsi="Book Antiqua" w:cs="Times New Roman"/>
          <w:i/>
        </w:rPr>
        <w:t xml:space="preserve"> Štatistické údaje kľúčových faktorov, ktoré ovplyvňujú a reflektujú novopriznané starobné dôchodky v členení podľa pohlavia za obdobie rokov 2004 až 2016</w:t>
      </w:r>
    </w:p>
    <w:tbl>
      <w:tblPr>
        <w:tblW w:w="5000" w:type="pct"/>
        <w:jc w:val="center"/>
        <w:tblCellMar>
          <w:left w:w="70" w:type="dxa"/>
          <w:right w:w="70" w:type="dxa"/>
        </w:tblCellMar>
        <w:tblLook w:val="04A0" w:firstRow="1" w:lastRow="0" w:firstColumn="1" w:lastColumn="0" w:noHBand="0" w:noVBand="1"/>
      </w:tblPr>
      <w:tblGrid>
        <w:gridCol w:w="728"/>
        <w:gridCol w:w="587"/>
        <w:gridCol w:w="587"/>
        <w:gridCol w:w="732"/>
        <w:gridCol w:w="728"/>
        <w:gridCol w:w="728"/>
        <w:gridCol w:w="730"/>
        <w:gridCol w:w="729"/>
        <w:gridCol w:w="585"/>
        <w:gridCol w:w="729"/>
        <w:gridCol w:w="729"/>
        <w:gridCol w:w="729"/>
        <w:gridCol w:w="729"/>
      </w:tblGrid>
      <w:tr w:rsidR="00057923" w:rsidRPr="00057923" w:rsidTr="00A62543">
        <w:trPr>
          <w:trHeight w:val="510"/>
          <w:jc w:val="center"/>
        </w:trPr>
        <w:tc>
          <w:tcPr>
            <w:tcW w:w="403" w:type="pct"/>
            <w:vMerge w:val="restart"/>
            <w:tcBorders>
              <w:top w:val="single" w:sz="8" w:space="0" w:color="auto"/>
              <w:left w:val="single" w:sz="8" w:space="0" w:color="auto"/>
              <w:bottom w:val="single" w:sz="8" w:space="0" w:color="000000"/>
              <w:right w:val="single" w:sz="8" w:space="0" w:color="auto"/>
            </w:tcBorders>
            <w:shd w:val="clear" w:color="auto" w:fill="A6A6A6" w:themeFill="background1" w:themeFillShade="A6"/>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Rok</w:t>
            </w:r>
          </w:p>
        </w:tc>
        <w:tc>
          <w:tcPr>
            <w:tcW w:w="1048"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 xml:space="preserve">Priemerné obdobie dôchodkového  </w:t>
            </w:r>
            <w:proofErr w:type="spellStart"/>
            <w:r w:rsidRPr="00057923">
              <w:rPr>
                <w:rFonts w:ascii="Book Antiqua" w:eastAsia="Times New Roman" w:hAnsi="Book Antiqua" w:cs="Calibri"/>
                <w:b/>
                <w:bCs/>
                <w:color w:val="FFFFFF"/>
                <w:sz w:val="18"/>
                <w:szCs w:val="18"/>
                <w:lang w:eastAsia="sk-SK"/>
              </w:rPr>
              <w:t>poist</w:t>
            </w:r>
            <w:proofErr w:type="spellEnd"/>
            <w:r w:rsidRPr="00057923">
              <w:rPr>
                <w:rFonts w:ascii="Book Antiqua" w:eastAsia="Times New Roman" w:hAnsi="Book Antiqua" w:cs="Calibri"/>
                <w:b/>
                <w:bCs/>
                <w:color w:val="FFFFFF"/>
                <w:sz w:val="18"/>
                <w:szCs w:val="18"/>
                <w:lang w:eastAsia="sk-SK"/>
              </w:rPr>
              <w:t>. v r.</w:t>
            </w:r>
          </w:p>
        </w:tc>
        <w:tc>
          <w:tcPr>
            <w:tcW w:w="1210"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Priemerný vek odchodu do starobného dôchodku</w:t>
            </w:r>
          </w:p>
        </w:tc>
        <w:tc>
          <w:tcPr>
            <w:tcW w:w="1129"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Priemerná mesačná výška novopriznaných starobných dôchodkov</w:t>
            </w:r>
          </w:p>
        </w:tc>
        <w:tc>
          <w:tcPr>
            <w:tcW w:w="1209" w:type="pct"/>
            <w:gridSpan w:val="3"/>
            <w:tcBorders>
              <w:top w:val="single" w:sz="8" w:space="0" w:color="auto"/>
              <w:left w:val="nil"/>
              <w:bottom w:val="single" w:sz="8" w:space="0" w:color="auto"/>
              <w:right w:val="single" w:sz="8" w:space="0" w:color="000000"/>
            </w:tcBorders>
            <w:shd w:val="clear" w:color="auto" w:fill="A6A6A6" w:themeFill="background1" w:themeFillShade="A6"/>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Neupravený priemerný osobný mzdový bod</w:t>
            </w:r>
          </w:p>
        </w:tc>
      </w:tr>
      <w:tr w:rsidR="00057923" w:rsidRPr="00057923" w:rsidTr="00A62543">
        <w:trPr>
          <w:trHeight w:val="315"/>
          <w:jc w:val="center"/>
        </w:trPr>
        <w:tc>
          <w:tcPr>
            <w:tcW w:w="403" w:type="pct"/>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rsidR="00057923" w:rsidRPr="00057923" w:rsidRDefault="00057923" w:rsidP="00057923">
            <w:pPr>
              <w:spacing w:after="0" w:line="240" w:lineRule="auto"/>
              <w:rPr>
                <w:rFonts w:ascii="Book Antiqua" w:eastAsia="Times New Roman" w:hAnsi="Book Antiqua" w:cs="Calibri"/>
                <w:b/>
                <w:bCs/>
                <w:color w:val="FFFFFF"/>
                <w:sz w:val="18"/>
                <w:szCs w:val="18"/>
                <w:lang w:eastAsia="sk-SK"/>
              </w:rPr>
            </w:pPr>
          </w:p>
        </w:tc>
        <w:tc>
          <w:tcPr>
            <w:tcW w:w="323" w:type="pct"/>
            <w:tcBorders>
              <w:top w:val="nil"/>
              <w:left w:val="nil"/>
              <w:bottom w:val="single" w:sz="8" w:space="0" w:color="auto"/>
              <w:right w:val="single" w:sz="8" w:space="0" w:color="auto"/>
            </w:tcBorders>
            <w:shd w:val="clear" w:color="auto" w:fill="A6A6A6" w:themeFill="background1" w:themeFillShade="A6"/>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Muži</w:t>
            </w:r>
          </w:p>
        </w:tc>
        <w:tc>
          <w:tcPr>
            <w:tcW w:w="323" w:type="pct"/>
            <w:tcBorders>
              <w:top w:val="nil"/>
              <w:left w:val="nil"/>
              <w:bottom w:val="single" w:sz="8" w:space="0" w:color="auto"/>
              <w:right w:val="single" w:sz="8" w:space="0" w:color="auto"/>
            </w:tcBorders>
            <w:shd w:val="clear" w:color="auto" w:fill="A6A6A6" w:themeFill="background1" w:themeFillShade="A6"/>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Ženy</w:t>
            </w:r>
          </w:p>
        </w:tc>
        <w:tc>
          <w:tcPr>
            <w:tcW w:w="403" w:type="pct"/>
            <w:tcBorders>
              <w:top w:val="nil"/>
              <w:left w:val="nil"/>
              <w:bottom w:val="single" w:sz="8" w:space="0" w:color="auto"/>
              <w:right w:val="nil"/>
            </w:tcBorders>
            <w:shd w:val="clear" w:color="auto" w:fill="A6A6A6" w:themeFill="background1" w:themeFillShade="A6"/>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Spolu</w:t>
            </w:r>
          </w:p>
        </w:tc>
        <w:tc>
          <w:tcPr>
            <w:tcW w:w="403" w:type="pct"/>
            <w:tcBorders>
              <w:top w:val="nil"/>
              <w:left w:val="single" w:sz="8" w:space="0" w:color="auto"/>
              <w:bottom w:val="single" w:sz="8" w:space="0" w:color="auto"/>
              <w:right w:val="single" w:sz="8" w:space="0" w:color="auto"/>
            </w:tcBorders>
            <w:shd w:val="clear" w:color="auto" w:fill="A6A6A6" w:themeFill="background1" w:themeFillShade="A6"/>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Muži</w:t>
            </w:r>
          </w:p>
        </w:tc>
        <w:tc>
          <w:tcPr>
            <w:tcW w:w="403" w:type="pct"/>
            <w:tcBorders>
              <w:top w:val="nil"/>
              <w:left w:val="nil"/>
              <w:bottom w:val="single" w:sz="8" w:space="0" w:color="auto"/>
              <w:right w:val="single" w:sz="8" w:space="0" w:color="auto"/>
            </w:tcBorders>
            <w:shd w:val="clear" w:color="auto" w:fill="A6A6A6" w:themeFill="background1" w:themeFillShade="A6"/>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Ženy</w:t>
            </w:r>
          </w:p>
        </w:tc>
        <w:tc>
          <w:tcPr>
            <w:tcW w:w="403" w:type="pct"/>
            <w:tcBorders>
              <w:top w:val="nil"/>
              <w:left w:val="nil"/>
              <w:bottom w:val="single" w:sz="8" w:space="0" w:color="auto"/>
              <w:right w:val="single" w:sz="8" w:space="0" w:color="auto"/>
            </w:tcBorders>
            <w:shd w:val="clear" w:color="auto" w:fill="A6A6A6" w:themeFill="background1" w:themeFillShade="A6"/>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Spolu</w:t>
            </w:r>
          </w:p>
        </w:tc>
        <w:tc>
          <w:tcPr>
            <w:tcW w:w="403" w:type="pct"/>
            <w:tcBorders>
              <w:top w:val="nil"/>
              <w:left w:val="nil"/>
              <w:bottom w:val="single" w:sz="8" w:space="0" w:color="auto"/>
              <w:right w:val="single" w:sz="8" w:space="0" w:color="auto"/>
            </w:tcBorders>
            <w:shd w:val="clear" w:color="auto" w:fill="A6A6A6" w:themeFill="background1" w:themeFillShade="A6"/>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muži</w:t>
            </w:r>
          </w:p>
        </w:tc>
        <w:tc>
          <w:tcPr>
            <w:tcW w:w="323" w:type="pct"/>
            <w:tcBorders>
              <w:top w:val="nil"/>
              <w:left w:val="nil"/>
              <w:bottom w:val="single" w:sz="8" w:space="0" w:color="auto"/>
              <w:right w:val="single" w:sz="8" w:space="0" w:color="auto"/>
            </w:tcBorders>
            <w:shd w:val="clear" w:color="auto" w:fill="A6A6A6" w:themeFill="background1" w:themeFillShade="A6"/>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ženy</w:t>
            </w:r>
          </w:p>
        </w:tc>
        <w:tc>
          <w:tcPr>
            <w:tcW w:w="403" w:type="pct"/>
            <w:tcBorders>
              <w:top w:val="nil"/>
              <w:left w:val="nil"/>
              <w:bottom w:val="single" w:sz="8" w:space="0" w:color="auto"/>
              <w:right w:val="single" w:sz="8" w:space="0" w:color="auto"/>
            </w:tcBorders>
            <w:shd w:val="clear" w:color="auto" w:fill="A6A6A6" w:themeFill="background1" w:themeFillShade="A6"/>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spolu</w:t>
            </w:r>
          </w:p>
        </w:tc>
        <w:tc>
          <w:tcPr>
            <w:tcW w:w="403" w:type="pct"/>
            <w:tcBorders>
              <w:top w:val="nil"/>
              <w:left w:val="nil"/>
              <w:bottom w:val="single" w:sz="8" w:space="0" w:color="auto"/>
              <w:right w:val="single" w:sz="8" w:space="0" w:color="auto"/>
            </w:tcBorders>
            <w:shd w:val="clear" w:color="auto" w:fill="A6A6A6" w:themeFill="background1" w:themeFillShade="A6"/>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Muži</w:t>
            </w:r>
          </w:p>
        </w:tc>
        <w:tc>
          <w:tcPr>
            <w:tcW w:w="403" w:type="pct"/>
            <w:tcBorders>
              <w:top w:val="nil"/>
              <w:left w:val="nil"/>
              <w:bottom w:val="single" w:sz="8" w:space="0" w:color="auto"/>
              <w:right w:val="single" w:sz="8" w:space="0" w:color="auto"/>
            </w:tcBorders>
            <w:shd w:val="clear" w:color="auto" w:fill="A6A6A6" w:themeFill="background1" w:themeFillShade="A6"/>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Ženy</w:t>
            </w:r>
          </w:p>
        </w:tc>
        <w:tc>
          <w:tcPr>
            <w:tcW w:w="403" w:type="pct"/>
            <w:tcBorders>
              <w:top w:val="nil"/>
              <w:left w:val="nil"/>
              <w:bottom w:val="single" w:sz="8" w:space="0" w:color="auto"/>
              <w:right w:val="single" w:sz="8" w:space="0" w:color="auto"/>
            </w:tcBorders>
            <w:shd w:val="clear" w:color="auto" w:fill="A6A6A6" w:themeFill="background1" w:themeFillShade="A6"/>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Spolu</w:t>
            </w:r>
          </w:p>
        </w:tc>
      </w:tr>
      <w:tr w:rsidR="00057923" w:rsidRPr="00057923" w:rsidTr="00A62543">
        <w:trPr>
          <w:trHeight w:val="315"/>
          <w:jc w:val="center"/>
        </w:trPr>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000000"/>
                <w:sz w:val="18"/>
                <w:szCs w:val="18"/>
                <w:lang w:eastAsia="sk-SK"/>
              </w:rPr>
            </w:pPr>
            <w:r w:rsidRPr="00057923">
              <w:rPr>
                <w:rFonts w:ascii="Book Antiqua" w:eastAsia="Times New Roman" w:hAnsi="Book Antiqua" w:cs="Calibri"/>
                <w:b/>
                <w:bCs/>
                <w:color w:val="000000"/>
                <w:sz w:val="18"/>
                <w:szCs w:val="18"/>
                <w:lang w:eastAsia="sk-SK"/>
              </w:rPr>
              <w:t>2003</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40</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34,7</w:t>
            </w:r>
          </w:p>
        </w:tc>
        <w:tc>
          <w:tcPr>
            <w:tcW w:w="403" w:type="pct"/>
            <w:tcBorders>
              <w:top w:val="nil"/>
              <w:left w:val="nil"/>
              <w:bottom w:val="single" w:sz="8" w:space="0" w:color="auto"/>
              <w:right w:val="nil"/>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36,6</w:t>
            </w:r>
          </w:p>
        </w:tc>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60,1</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55,1</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56,9</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x</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x</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x</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x</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x</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x</w:t>
            </w:r>
          </w:p>
        </w:tc>
      </w:tr>
      <w:tr w:rsidR="00057923" w:rsidRPr="00057923" w:rsidTr="00A62543">
        <w:trPr>
          <w:trHeight w:val="315"/>
          <w:jc w:val="center"/>
        </w:trPr>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000000"/>
                <w:sz w:val="18"/>
                <w:szCs w:val="18"/>
                <w:lang w:eastAsia="sk-SK"/>
              </w:rPr>
            </w:pPr>
            <w:r w:rsidRPr="00057923">
              <w:rPr>
                <w:rFonts w:ascii="Book Antiqua" w:eastAsia="Times New Roman" w:hAnsi="Book Antiqua" w:cs="Calibri"/>
                <w:b/>
                <w:bCs/>
                <w:color w:val="000000"/>
                <w:sz w:val="18"/>
                <w:szCs w:val="18"/>
                <w:lang w:eastAsia="sk-SK"/>
              </w:rPr>
              <w:t>2004</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42,4</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36,7</w:t>
            </w:r>
          </w:p>
        </w:tc>
        <w:tc>
          <w:tcPr>
            <w:tcW w:w="403" w:type="pct"/>
            <w:tcBorders>
              <w:top w:val="nil"/>
              <w:left w:val="nil"/>
              <w:bottom w:val="single" w:sz="8" w:space="0" w:color="auto"/>
              <w:right w:val="nil"/>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38,8</w:t>
            </w:r>
          </w:p>
        </w:tc>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61,4</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56,8</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58,5</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479,4</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377,5</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418,7</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1,7017</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1,3513</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1,4932</w:t>
            </w:r>
          </w:p>
        </w:tc>
      </w:tr>
      <w:tr w:rsidR="00057923" w:rsidRPr="00057923" w:rsidTr="00A62543">
        <w:trPr>
          <w:trHeight w:val="315"/>
          <w:jc w:val="center"/>
        </w:trPr>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000000"/>
                <w:sz w:val="18"/>
                <w:szCs w:val="18"/>
                <w:lang w:eastAsia="sk-SK"/>
              </w:rPr>
            </w:pPr>
            <w:r w:rsidRPr="00057923">
              <w:rPr>
                <w:rFonts w:ascii="Book Antiqua" w:eastAsia="Times New Roman" w:hAnsi="Book Antiqua" w:cs="Calibri"/>
                <w:b/>
                <w:bCs/>
                <w:color w:val="000000"/>
                <w:sz w:val="18"/>
                <w:szCs w:val="18"/>
                <w:lang w:eastAsia="sk-SK"/>
              </w:rPr>
              <w:t>2005</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43</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36,2</w:t>
            </w:r>
          </w:p>
        </w:tc>
        <w:tc>
          <w:tcPr>
            <w:tcW w:w="403" w:type="pct"/>
            <w:tcBorders>
              <w:top w:val="nil"/>
              <w:left w:val="nil"/>
              <w:bottom w:val="single" w:sz="8" w:space="0" w:color="auto"/>
              <w:right w:val="nil"/>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38,4</w:t>
            </w:r>
          </w:p>
        </w:tc>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60,7</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56</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57,5</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400,8</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277,0</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317,3</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1,3615</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0,9477</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1,0820</w:t>
            </w:r>
          </w:p>
        </w:tc>
      </w:tr>
      <w:tr w:rsidR="00057923" w:rsidRPr="00057923" w:rsidTr="00A62543">
        <w:trPr>
          <w:trHeight w:val="315"/>
          <w:jc w:val="center"/>
        </w:trPr>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000000"/>
                <w:sz w:val="18"/>
                <w:szCs w:val="18"/>
                <w:lang w:eastAsia="sk-SK"/>
              </w:rPr>
            </w:pPr>
            <w:r w:rsidRPr="00057923">
              <w:rPr>
                <w:rFonts w:ascii="Book Antiqua" w:eastAsia="Times New Roman" w:hAnsi="Book Antiqua" w:cs="Calibri"/>
                <w:b/>
                <w:bCs/>
                <w:color w:val="000000"/>
                <w:sz w:val="18"/>
                <w:szCs w:val="18"/>
                <w:lang w:eastAsia="sk-SK"/>
              </w:rPr>
              <w:t>2006</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40,4</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34</w:t>
            </w:r>
          </w:p>
        </w:tc>
        <w:tc>
          <w:tcPr>
            <w:tcW w:w="403" w:type="pct"/>
            <w:tcBorders>
              <w:top w:val="nil"/>
              <w:left w:val="nil"/>
              <w:bottom w:val="single" w:sz="8" w:space="0" w:color="auto"/>
              <w:right w:val="nil"/>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35,8</w:t>
            </w:r>
          </w:p>
        </w:tc>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60,2</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56,8</w:t>
            </w:r>
          </w:p>
        </w:tc>
        <w:tc>
          <w:tcPr>
            <w:tcW w:w="403" w:type="pct"/>
            <w:tcBorders>
              <w:top w:val="nil"/>
              <w:left w:val="nil"/>
              <w:bottom w:val="single" w:sz="8" w:space="0" w:color="auto"/>
              <w:right w:val="nil"/>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57,8</w:t>
            </w:r>
          </w:p>
        </w:tc>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390,8</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236,6</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282,7</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1,2856</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0,7817</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0,9327</w:t>
            </w:r>
          </w:p>
        </w:tc>
      </w:tr>
      <w:tr w:rsidR="00057923" w:rsidRPr="00057923" w:rsidTr="00A62543">
        <w:trPr>
          <w:trHeight w:val="315"/>
          <w:jc w:val="center"/>
        </w:trPr>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000000"/>
                <w:sz w:val="18"/>
                <w:szCs w:val="18"/>
                <w:lang w:eastAsia="sk-SK"/>
              </w:rPr>
            </w:pPr>
            <w:r w:rsidRPr="00057923">
              <w:rPr>
                <w:rFonts w:ascii="Book Antiqua" w:eastAsia="Times New Roman" w:hAnsi="Book Antiqua" w:cs="Calibri"/>
                <w:b/>
                <w:bCs/>
                <w:color w:val="000000"/>
                <w:sz w:val="18"/>
                <w:szCs w:val="18"/>
                <w:lang w:eastAsia="sk-SK"/>
              </w:rPr>
              <w:t>2007</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41,3</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33,8</w:t>
            </w:r>
          </w:p>
        </w:tc>
        <w:tc>
          <w:tcPr>
            <w:tcW w:w="403" w:type="pct"/>
            <w:tcBorders>
              <w:top w:val="nil"/>
              <w:left w:val="nil"/>
              <w:bottom w:val="single" w:sz="8" w:space="0" w:color="auto"/>
              <w:right w:val="nil"/>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35,6</w:t>
            </w:r>
          </w:p>
        </w:tc>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60,7</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58</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58,7</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399,7</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240,2</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280,8</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1,1809</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0,7394</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0,8516</w:t>
            </w:r>
          </w:p>
        </w:tc>
      </w:tr>
      <w:tr w:rsidR="00057923" w:rsidRPr="00057923" w:rsidTr="00A62543">
        <w:trPr>
          <w:trHeight w:val="315"/>
          <w:jc w:val="center"/>
        </w:trPr>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000000"/>
                <w:sz w:val="18"/>
                <w:szCs w:val="18"/>
                <w:lang w:eastAsia="sk-SK"/>
              </w:rPr>
            </w:pPr>
            <w:r w:rsidRPr="00057923">
              <w:rPr>
                <w:rFonts w:ascii="Book Antiqua" w:eastAsia="Times New Roman" w:hAnsi="Book Antiqua" w:cs="Calibri"/>
                <w:b/>
                <w:bCs/>
                <w:color w:val="000000"/>
                <w:sz w:val="18"/>
                <w:szCs w:val="18"/>
                <w:lang w:eastAsia="sk-SK"/>
              </w:rPr>
              <w:t>2008</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42,1</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35,7</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37,7</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61,6</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57,6</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58,8</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437,1</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264,3</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320,1</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1,187</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0,7493</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0,8906</w:t>
            </w:r>
          </w:p>
        </w:tc>
      </w:tr>
      <w:tr w:rsidR="00057923" w:rsidRPr="00057923" w:rsidTr="00A62543">
        <w:trPr>
          <w:trHeight w:val="315"/>
          <w:jc w:val="center"/>
        </w:trPr>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000000"/>
                <w:sz w:val="18"/>
                <w:szCs w:val="18"/>
                <w:lang w:eastAsia="sk-SK"/>
              </w:rPr>
            </w:pPr>
            <w:r w:rsidRPr="00057923">
              <w:rPr>
                <w:rFonts w:ascii="Book Antiqua" w:eastAsia="Times New Roman" w:hAnsi="Book Antiqua" w:cs="Calibri"/>
                <w:b/>
                <w:bCs/>
                <w:color w:val="000000"/>
                <w:sz w:val="18"/>
                <w:szCs w:val="18"/>
                <w:lang w:eastAsia="sk-SK"/>
              </w:rPr>
              <w:t>2009</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41,9</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35,9</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38,4</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61,8</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57,2</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59,1</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472,0</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296,0</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370,0</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1,1654</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0,7763</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0,9399</w:t>
            </w:r>
          </w:p>
        </w:tc>
      </w:tr>
      <w:tr w:rsidR="00057923" w:rsidRPr="00057923" w:rsidTr="00A62543">
        <w:trPr>
          <w:trHeight w:val="315"/>
          <w:jc w:val="center"/>
        </w:trPr>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000000"/>
                <w:sz w:val="18"/>
                <w:szCs w:val="18"/>
                <w:lang w:eastAsia="sk-SK"/>
              </w:rPr>
            </w:pPr>
            <w:r w:rsidRPr="00057923">
              <w:rPr>
                <w:rFonts w:ascii="Book Antiqua" w:eastAsia="Times New Roman" w:hAnsi="Book Antiqua" w:cs="Calibri"/>
                <w:b/>
                <w:bCs/>
                <w:color w:val="000000"/>
                <w:sz w:val="18"/>
                <w:szCs w:val="18"/>
                <w:lang w:eastAsia="sk-SK"/>
              </w:rPr>
              <w:t>2010</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41,2</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36,1</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37,9</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61,7</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57,9</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59,3</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462,0</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279,0</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343,0</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1,1437</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0,7316</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0,8762</w:t>
            </w:r>
          </w:p>
        </w:tc>
      </w:tr>
      <w:tr w:rsidR="00057923" w:rsidRPr="00057923" w:rsidTr="00A62543">
        <w:trPr>
          <w:trHeight w:val="315"/>
          <w:jc w:val="center"/>
        </w:trPr>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000000"/>
                <w:sz w:val="18"/>
                <w:szCs w:val="18"/>
                <w:lang w:eastAsia="sk-SK"/>
              </w:rPr>
            </w:pPr>
            <w:r w:rsidRPr="00057923">
              <w:rPr>
                <w:rFonts w:ascii="Book Antiqua" w:eastAsia="Times New Roman" w:hAnsi="Book Antiqua" w:cs="Calibri"/>
                <w:b/>
                <w:bCs/>
                <w:color w:val="000000"/>
                <w:sz w:val="18"/>
                <w:szCs w:val="18"/>
                <w:lang w:eastAsia="sk-SK"/>
              </w:rPr>
              <w:t>2011</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41,4</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35,6</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38,7</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61,8</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58,2</w:t>
            </w:r>
          </w:p>
        </w:tc>
        <w:tc>
          <w:tcPr>
            <w:tcW w:w="403" w:type="pct"/>
            <w:tcBorders>
              <w:top w:val="nil"/>
              <w:left w:val="nil"/>
              <w:bottom w:val="single" w:sz="8" w:space="0" w:color="auto"/>
              <w:right w:val="nil"/>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60,1</w:t>
            </w:r>
          </w:p>
        </w:tc>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466,0</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283,0</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380,0</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1,1313</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0,7363</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0,9450</w:t>
            </w:r>
          </w:p>
        </w:tc>
      </w:tr>
      <w:tr w:rsidR="00057923" w:rsidRPr="00057923" w:rsidTr="00A62543">
        <w:trPr>
          <w:trHeight w:val="315"/>
          <w:jc w:val="center"/>
        </w:trPr>
        <w:tc>
          <w:tcPr>
            <w:tcW w:w="403" w:type="pct"/>
            <w:tcBorders>
              <w:top w:val="nil"/>
              <w:left w:val="single" w:sz="8" w:space="0" w:color="auto"/>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000000"/>
                <w:sz w:val="18"/>
                <w:szCs w:val="18"/>
                <w:lang w:eastAsia="sk-SK"/>
              </w:rPr>
            </w:pPr>
            <w:r w:rsidRPr="00057923">
              <w:rPr>
                <w:rFonts w:ascii="Book Antiqua" w:eastAsia="Times New Roman" w:hAnsi="Book Antiqua" w:cs="Calibri"/>
                <w:b/>
                <w:bCs/>
                <w:color w:val="000000"/>
                <w:sz w:val="18"/>
                <w:szCs w:val="18"/>
                <w:lang w:eastAsia="sk-SK"/>
              </w:rPr>
              <w:t>2012</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42</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38,3</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39,6</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61,8</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57,9</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59,3</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490,0</w:t>
            </w:r>
          </w:p>
        </w:tc>
        <w:tc>
          <w:tcPr>
            <w:tcW w:w="32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315,0</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377,0</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1,1320</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0,7545</w:t>
            </w:r>
          </w:p>
        </w:tc>
        <w:tc>
          <w:tcPr>
            <w:tcW w:w="403" w:type="pct"/>
            <w:tcBorders>
              <w:top w:val="nil"/>
              <w:left w:val="nil"/>
              <w:bottom w:val="single" w:sz="8"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0,8892</w:t>
            </w:r>
          </w:p>
        </w:tc>
      </w:tr>
      <w:tr w:rsidR="00057923" w:rsidRPr="00057923" w:rsidTr="00A62543">
        <w:trPr>
          <w:trHeight w:val="315"/>
          <w:jc w:val="center"/>
        </w:trPr>
        <w:tc>
          <w:tcPr>
            <w:tcW w:w="403" w:type="pct"/>
            <w:tcBorders>
              <w:top w:val="nil"/>
              <w:left w:val="single" w:sz="8" w:space="0" w:color="auto"/>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b/>
                <w:bCs/>
                <w:color w:val="000000"/>
                <w:sz w:val="18"/>
                <w:szCs w:val="18"/>
                <w:lang w:eastAsia="sk-SK"/>
              </w:rPr>
            </w:pPr>
            <w:r w:rsidRPr="00057923">
              <w:rPr>
                <w:rFonts w:ascii="Book Antiqua" w:eastAsia="Times New Roman" w:hAnsi="Book Antiqua" w:cs="Calibri"/>
                <w:b/>
                <w:bCs/>
                <w:color w:val="000000"/>
                <w:sz w:val="18"/>
                <w:szCs w:val="18"/>
                <w:lang w:eastAsia="sk-SK"/>
              </w:rPr>
              <w:t>2013</w:t>
            </w:r>
          </w:p>
        </w:tc>
        <w:tc>
          <w:tcPr>
            <w:tcW w:w="323" w:type="pct"/>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43,7</w:t>
            </w:r>
          </w:p>
        </w:tc>
        <w:tc>
          <w:tcPr>
            <w:tcW w:w="323" w:type="pct"/>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39,5</w:t>
            </w:r>
          </w:p>
        </w:tc>
        <w:tc>
          <w:tcPr>
            <w:tcW w:w="403" w:type="pct"/>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42</w:t>
            </w:r>
          </w:p>
        </w:tc>
        <w:tc>
          <w:tcPr>
            <w:tcW w:w="403" w:type="pct"/>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61,9</w:t>
            </w:r>
          </w:p>
        </w:tc>
        <w:tc>
          <w:tcPr>
            <w:tcW w:w="403" w:type="pct"/>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58,7</w:t>
            </w:r>
          </w:p>
        </w:tc>
        <w:tc>
          <w:tcPr>
            <w:tcW w:w="403" w:type="pct"/>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60,6</w:t>
            </w:r>
          </w:p>
        </w:tc>
        <w:tc>
          <w:tcPr>
            <w:tcW w:w="403" w:type="pct"/>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509,0</w:t>
            </w:r>
          </w:p>
        </w:tc>
        <w:tc>
          <w:tcPr>
            <w:tcW w:w="323" w:type="pct"/>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347,0</w:t>
            </w:r>
          </w:p>
        </w:tc>
        <w:tc>
          <w:tcPr>
            <w:tcW w:w="403" w:type="pct"/>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444,0</w:t>
            </w:r>
          </w:p>
        </w:tc>
        <w:tc>
          <w:tcPr>
            <w:tcW w:w="403" w:type="pct"/>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1,1337</w:t>
            </w:r>
          </w:p>
        </w:tc>
        <w:tc>
          <w:tcPr>
            <w:tcW w:w="403" w:type="pct"/>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0,7958</w:t>
            </w:r>
          </w:p>
        </w:tc>
        <w:tc>
          <w:tcPr>
            <w:tcW w:w="403" w:type="pct"/>
            <w:tcBorders>
              <w:top w:val="nil"/>
              <w:left w:val="nil"/>
              <w:bottom w:val="single" w:sz="4" w:space="0" w:color="auto"/>
              <w:right w:val="single" w:sz="8" w:space="0" w:color="auto"/>
            </w:tcBorders>
            <w:noWrap/>
            <w:vAlign w:val="center"/>
            <w:hideMark/>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0,9972</w:t>
            </w:r>
          </w:p>
        </w:tc>
      </w:tr>
      <w:tr w:rsidR="00057923" w:rsidRPr="00057923" w:rsidTr="00A62543">
        <w:trPr>
          <w:trHeight w:val="315"/>
          <w:jc w:val="center"/>
        </w:trPr>
        <w:tc>
          <w:tcPr>
            <w:tcW w:w="403" w:type="pct"/>
            <w:tcBorders>
              <w:top w:val="single" w:sz="4" w:space="0" w:color="auto"/>
              <w:left w:val="single" w:sz="8" w:space="0" w:color="auto"/>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b/>
                <w:bCs/>
                <w:color w:val="000000"/>
                <w:sz w:val="18"/>
                <w:szCs w:val="18"/>
                <w:lang w:eastAsia="sk-SK"/>
              </w:rPr>
            </w:pPr>
            <w:r w:rsidRPr="00057923">
              <w:rPr>
                <w:rFonts w:ascii="Book Antiqua" w:eastAsia="Times New Roman" w:hAnsi="Book Antiqua" w:cs="Calibri"/>
                <w:b/>
                <w:bCs/>
                <w:color w:val="000000"/>
                <w:sz w:val="18"/>
                <w:szCs w:val="18"/>
                <w:lang w:eastAsia="sk-SK"/>
              </w:rPr>
              <w:t>2014</w:t>
            </w:r>
          </w:p>
        </w:tc>
        <w:tc>
          <w:tcPr>
            <w:tcW w:w="32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43,65</w:t>
            </w:r>
          </w:p>
        </w:tc>
        <w:tc>
          <w:tcPr>
            <w:tcW w:w="32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40,09</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41,80</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61,88</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58,89</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60,32</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512,0</w:t>
            </w:r>
          </w:p>
        </w:tc>
        <w:tc>
          <w:tcPr>
            <w:tcW w:w="32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357,0</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432,0</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1,1256</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0,7946</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0,9538</w:t>
            </w:r>
          </w:p>
        </w:tc>
      </w:tr>
      <w:tr w:rsidR="00057923" w:rsidRPr="00057923" w:rsidTr="00A62543">
        <w:trPr>
          <w:trHeight w:val="315"/>
          <w:jc w:val="center"/>
        </w:trPr>
        <w:tc>
          <w:tcPr>
            <w:tcW w:w="403" w:type="pct"/>
            <w:tcBorders>
              <w:top w:val="single" w:sz="4" w:space="0" w:color="auto"/>
              <w:left w:val="single" w:sz="8" w:space="0" w:color="auto"/>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b/>
                <w:bCs/>
                <w:color w:val="000000"/>
                <w:sz w:val="18"/>
                <w:szCs w:val="18"/>
                <w:lang w:eastAsia="sk-SK"/>
              </w:rPr>
            </w:pPr>
            <w:r w:rsidRPr="00057923">
              <w:rPr>
                <w:rFonts w:ascii="Book Antiqua" w:eastAsia="Times New Roman" w:hAnsi="Book Antiqua" w:cs="Calibri"/>
                <w:b/>
                <w:bCs/>
                <w:color w:val="000000"/>
                <w:sz w:val="18"/>
                <w:szCs w:val="18"/>
                <w:lang w:eastAsia="sk-SK"/>
              </w:rPr>
              <w:t>2015</w:t>
            </w:r>
          </w:p>
        </w:tc>
        <w:tc>
          <w:tcPr>
            <w:tcW w:w="32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43,74</w:t>
            </w:r>
          </w:p>
        </w:tc>
        <w:tc>
          <w:tcPr>
            <w:tcW w:w="32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40,83</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42,37</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61,96</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59,85</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60,97</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527,0</w:t>
            </w:r>
          </w:p>
        </w:tc>
        <w:tc>
          <w:tcPr>
            <w:tcW w:w="32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380,0</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457,0</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1,1148</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0,7968</w:t>
            </w:r>
          </w:p>
        </w:tc>
        <w:tc>
          <w:tcPr>
            <w:tcW w:w="403" w:type="pct"/>
            <w:tcBorders>
              <w:top w:val="single" w:sz="4" w:space="0" w:color="auto"/>
              <w:left w:val="nil"/>
              <w:bottom w:val="single" w:sz="4"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0,9651</w:t>
            </w:r>
          </w:p>
        </w:tc>
      </w:tr>
      <w:tr w:rsidR="00057923" w:rsidRPr="00057923" w:rsidTr="00A62543">
        <w:trPr>
          <w:trHeight w:val="315"/>
          <w:jc w:val="center"/>
        </w:trPr>
        <w:tc>
          <w:tcPr>
            <w:tcW w:w="403" w:type="pct"/>
            <w:tcBorders>
              <w:top w:val="single" w:sz="4" w:space="0" w:color="auto"/>
              <w:left w:val="single" w:sz="8" w:space="0" w:color="auto"/>
              <w:bottom w:val="single" w:sz="8"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b/>
                <w:bCs/>
                <w:color w:val="000000"/>
                <w:sz w:val="18"/>
                <w:szCs w:val="18"/>
                <w:lang w:eastAsia="sk-SK"/>
              </w:rPr>
            </w:pPr>
            <w:r w:rsidRPr="00057923">
              <w:rPr>
                <w:rFonts w:ascii="Book Antiqua" w:eastAsia="Times New Roman" w:hAnsi="Book Antiqua" w:cs="Calibri"/>
                <w:b/>
                <w:bCs/>
                <w:color w:val="000000"/>
                <w:sz w:val="18"/>
                <w:szCs w:val="18"/>
                <w:lang w:eastAsia="sk-SK"/>
              </w:rPr>
              <w:t>2016</w:t>
            </w:r>
          </w:p>
        </w:tc>
        <w:tc>
          <w:tcPr>
            <w:tcW w:w="323" w:type="pct"/>
            <w:tcBorders>
              <w:top w:val="single" w:sz="4" w:space="0" w:color="auto"/>
              <w:left w:val="nil"/>
              <w:bottom w:val="single" w:sz="8"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43,59</w:t>
            </w:r>
          </w:p>
        </w:tc>
        <w:tc>
          <w:tcPr>
            <w:tcW w:w="323" w:type="pct"/>
            <w:tcBorders>
              <w:top w:val="single" w:sz="4" w:space="0" w:color="auto"/>
              <w:left w:val="nil"/>
              <w:bottom w:val="single" w:sz="8"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41,04</w:t>
            </w:r>
          </w:p>
        </w:tc>
        <w:tc>
          <w:tcPr>
            <w:tcW w:w="403" w:type="pct"/>
            <w:tcBorders>
              <w:top w:val="single" w:sz="4" w:space="0" w:color="auto"/>
              <w:left w:val="nil"/>
              <w:bottom w:val="single" w:sz="8"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42,48</w:t>
            </w:r>
          </w:p>
        </w:tc>
        <w:tc>
          <w:tcPr>
            <w:tcW w:w="403" w:type="pct"/>
            <w:tcBorders>
              <w:top w:val="single" w:sz="4" w:space="0" w:color="auto"/>
              <w:left w:val="nil"/>
              <w:bottom w:val="single" w:sz="8"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61,93</w:t>
            </w:r>
          </w:p>
        </w:tc>
        <w:tc>
          <w:tcPr>
            <w:tcW w:w="403" w:type="pct"/>
            <w:tcBorders>
              <w:top w:val="single" w:sz="4" w:space="0" w:color="auto"/>
              <w:left w:val="nil"/>
              <w:bottom w:val="single" w:sz="8"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60,02</w:t>
            </w:r>
          </w:p>
        </w:tc>
        <w:tc>
          <w:tcPr>
            <w:tcW w:w="403" w:type="pct"/>
            <w:tcBorders>
              <w:top w:val="single" w:sz="4" w:space="0" w:color="auto"/>
              <w:left w:val="nil"/>
              <w:bottom w:val="single" w:sz="8"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61,1</w:t>
            </w:r>
          </w:p>
        </w:tc>
        <w:tc>
          <w:tcPr>
            <w:tcW w:w="403" w:type="pct"/>
            <w:tcBorders>
              <w:top w:val="single" w:sz="4" w:space="0" w:color="auto"/>
              <w:left w:val="nil"/>
              <w:bottom w:val="single" w:sz="8"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525,3</w:t>
            </w:r>
          </w:p>
        </w:tc>
        <w:tc>
          <w:tcPr>
            <w:tcW w:w="323" w:type="pct"/>
            <w:tcBorders>
              <w:top w:val="single" w:sz="4" w:space="0" w:color="auto"/>
              <w:left w:val="nil"/>
              <w:bottom w:val="single" w:sz="8"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393,0</w:t>
            </w:r>
          </w:p>
        </w:tc>
        <w:tc>
          <w:tcPr>
            <w:tcW w:w="403" w:type="pct"/>
            <w:tcBorders>
              <w:top w:val="single" w:sz="4" w:space="0" w:color="auto"/>
              <w:left w:val="nil"/>
              <w:bottom w:val="single" w:sz="8"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467,8</w:t>
            </w:r>
          </w:p>
        </w:tc>
        <w:tc>
          <w:tcPr>
            <w:tcW w:w="403" w:type="pct"/>
            <w:tcBorders>
              <w:top w:val="single" w:sz="4" w:space="0" w:color="auto"/>
              <w:left w:val="nil"/>
              <w:bottom w:val="single" w:sz="8"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1,0977</w:t>
            </w:r>
          </w:p>
        </w:tc>
        <w:tc>
          <w:tcPr>
            <w:tcW w:w="403" w:type="pct"/>
            <w:tcBorders>
              <w:top w:val="single" w:sz="4" w:space="0" w:color="auto"/>
              <w:left w:val="nil"/>
              <w:bottom w:val="single" w:sz="8"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0,8083</w:t>
            </w:r>
          </w:p>
        </w:tc>
        <w:tc>
          <w:tcPr>
            <w:tcW w:w="403" w:type="pct"/>
            <w:tcBorders>
              <w:top w:val="single" w:sz="4" w:space="0" w:color="auto"/>
              <w:left w:val="nil"/>
              <w:bottom w:val="single" w:sz="8" w:space="0" w:color="auto"/>
              <w:right w:val="single" w:sz="8" w:space="0" w:color="auto"/>
            </w:tcBorders>
            <w:noWrap/>
            <w:vAlign w:val="center"/>
          </w:tcPr>
          <w:p w:rsidR="00057923" w:rsidRPr="00057923" w:rsidRDefault="00057923" w:rsidP="00057923">
            <w:pPr>
              <w:spacing w:after="0" w:line="240" w:lineRule="auto"/>
              <w:jc w:val="center"/>
              <w:rPr>
                <w:rFonts w:ascii="Book Antiqua" w:eastAsia="Times New Roman" w:hAnsi="Book Antiqua" w:cs="Calibri"/>
                <w:color w:val="000000"/>
                <w:sz w:val="18"/>
                <w:szCs w:val="18"/>
                <w:lang w:eastAsia="sk-SK"/>
              </w:rPr>
            </w:pPr>
            <w:r w:rsidRPr="00057923">
              <w:rPr>
                <w:rFonts w:ascii="Book Antiqua" w:eastAsia="Times New Roman" w:hAnsi="Book Antiqua" w:cs="Calibri"/>
                <w:color w:val="000000"/>
                <w:sz w:val="18"/>
                <w:szCs w:val="18"/>
                <w:lang w:eastAsia="sk-SK"/>
              </w:rPr>
              <w:t>0,9720</w:t>
            </w:r>
          </w:p>
        </w:tc>
      </w:tr>
    </w:tbl>
    <w:p w:rsidR="00057923" w:rsidRPr="00057923" w:rsidRDefault="00057923" w:rsidP="00057923">
      <w:pPr>
        <w:spacing w:after="200" w:line="276" w:lineRule="auto"/>
        <w:rPr>
          <w:rFonts w:ascii="Book Antiqua" w:eastAsia="Times New Roman" w:hAnsi="Book Antiqua" w:cs="Arial"/>
          <w:i/>
          <w:sz w:val="20"/>
          <w:szCs w:val="20"/>
          <w:lang w:eastAsia="sk-SK"/>
        </w:rPr>
      </w:pPr>
      <w:r w:rsidRPr="00057923">
        <w:rPr>
          <w:rFonts w:ascii="Book Antiqua" w:eastAsia="Times New Roman" w:hAnsi="Book Antiqua" w:cs="Arial"/>
          <w:i/>
          <w:sz w:val="20"/>
          <w:szCs w:val="20"/>
          <w:lang w:eastAsia="sk-SK"/>
        </w:rPr>
        <w:lastRenderedPageBreak/>
        <w:t>Zdroj: Sociálna poisťovňa</w:t>
      </w:r>
    </w:p>
    <w:p w:rsidR="00057923" w:rsidRPr="00057923" w:rsidRDefault="00057923" w:rsidP="00057923">
      <w:pPr>
        <w:spacing w:after="200" w:line="276" w:lineRule="auto"/>
        <w:rPr>
          <w:rFonts w:ascii="Book Antiqua" w:eastAsia="Times New Roman" w:hAnsi="Book Antiqua" w:cs="Arial"/>
          <w:sz w:val="20"/>
          <w:szCs w:val="20"/>
          <w:lang w:eastAsia="sk-SK"/>
        </w:rPr>
      </w:pPr>
    </w:p>
    <w:p w:rsidR="00057923" w:rsidRPr="00057923" w:rsidRDefault="00057923" w:rsidP="00057923">
      <w:pPr>
        <w:keepNext/>
        <w:spacing w:after="200" w:line="276" w:lineRule="auto"/>
        <w:jc w:val="both"/>
        <w:rPr>
          <w:rFonts w:ascii="Book Antiqua" w:eastAsia="Times New Roman" w:hAnsi="Book Antiqua" w:cs="Times New Roman"/>
          <w:b/>
          <w:bCs/>
          <w:i/>
        </w:rPr>
      </w:pPr>
      <w:r w:rsidRPr="00057923">
        <w:rPr>
          <w:rFonts w:ascii="Book Antiqua" w:eastAsia="Times New Roman" w:hAnsi="Book Antiqua" w:cs="Times New Roman"/>
          <w:b/>
          <w:bCs/>
          <w:i/>
        </w:rPr>
        <w:t xml:space="preserve">Tabuľka 11: </w:t>
      </w:r>
      <w:r w:rsidRPr="00057923">
        <w:rPr>
          <w:rFonts w:ascii="Book Antiqua" w:eastAsia="Times New Roman" w:hAnsi="Book Antiqua" w:cs="Times New Roman"/>
          <w:bCs/>
          <w:i/>
        </w:rPr>
        <w:t>Podmienky vyplácania jednotlivých dávok DDP podľa uzatvorenej zmluvy</w:t>
      </w:r>
    </w:p>
    <w:tbl>
      <w:tblPr>
        <w:tblW w:w="5000" w:type="pct"/>
        <w:tblLayout w:type="fixed"/>
        <w:tblCellMar>
          <w:left w:w="70" w:type="dxa"/>
          <w:right w:w="70" w:type="dxa"/>
        </w:tblCellMar>
        <w:tblLook w:val="04A0" w:firstRow="1" w:lastRow="0" w:firstColumn="1" w:lastColumn="0" w:noHBand="0" w:noVBand="1"/>
      </w:tblPr>
      <w:tblGrid>
        <w:gridCol w:w="2160"/>
        <w:gridCol w:w="3450"/>
        <w:gridCol w:w="3450"/>
      </w:tblGrid>
      <w:tr w:rsidR="00057923" w:rsidRPr="00057923" w:rsidTr="00A62543">
        <w:trPr>
          <w:trHeight w:val="740"/>
        </w:trPr>
        <w:tc>
          <w:tcPr>
            <w:tcW w:w="119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57923" w:rsidRPr="00057923" w:rsidRDefault="00057923" w:rsidP="00057923">
            <w:pPr>
              <w:spacing w:after="0" w:line="240" w:lineRule="auto"/>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Dávky vyplácané v systéme DDP</w:t>
            </w:r>
          </w:p>
        </w:tc>
        <w:tc>
          <w:tcPr>
            <w:tcW w:w="1904" w:type="pct"/>
            <w:tcBorders>
              <w:top w:val="single" w:sz="4" w:space="0" w:color="auto"/>
              <w:left w:val="nil"/>
              <w:bottom w:val="single" w:sz="4" w:space="0" w:color="auto"/>
              <w:right w:val="single" w:sz="4" w:space="0" w:color="auto"/>
            </w:tcBorders>
            <w:shd w:val="clear" w:color="auto" w:fill="A6A6A6" w:themeFill="background1" w:themeFillShade="A6"/>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Účastníci, ktorí svoju zmluvu uzavreli od 1.7.1996 do 31.12.2000 a súčasťou ich zmluvy je dávkový plán</w:t>
            </w:r>
          </w:p>
        </w:tc>
        <w:tc>
          <w:tcPr>
            <w:tcW w:w="1904" w:type="pct"/>
            <w:tcBorders>
              <w:top w:val="single" w:sz="4" w:space="0" w:color="auto"/>
              <w:left w:val="nil"/>
              <w:bottom w:val="single" w:sz="4" w:space="0" w:color="auto"/>
              <w:right w:val="single" w:sz="4" w:space="0" w:color="auto"/>
            </w:tcBorders>
            <w:shd w:val="clear" w:color="auto" w:fill="A6A6A6" w:themeFill="background1" w:themeFillShade="A6"/>
            <w:hideMark/>
          </w:tcPr>
          <w:p w:rsidR="00057923" w:rsidRPr="00057923" w:rsidRDefault="00057923" w:rsidP="00057923">
            <w:pPr>
              <w:spacing w:after="0" w:line="240"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Účastníci, ktorí svoju zmluvu uzavreli od 1.1.2001 do 31.12.2004 a súčasťou ich zmluvy je dávkový plán</w:t>
            </w:r>
          </w:p>
        </w:tc>
      </w:tr>
      <w:tr w:rsidR="00057923" w:rsidRPr="00057923" w:rsidTr="00A62543">
        <w:trPr>
          <w:trHeight w:val="1290"/>
        </w:trPr>
        <w:tc>
          <w:tcPr>
            <w:tcW w:w="1192" w:type="pct"/>
            <w:tcBorders>
              <w:top w:val="nil"/>
              <w:left w:val="single" w:sz="4" w:space="0" w:color="auto"/>
              <w:bottom w:val="single" w:sz="4" w:space="0" w:color="auto"/>
              <w:right w:val="single" w:sz="4" w:space="0" w:color="auto"/>
            </w:tcBorders>
            <w:vAlign w:val="center"/>
            <w:hideMark/>
          </w:tcPr>
          <w:p w:rsidR="00057923" w:rsidRPr="00057923" w:rsidRDefault="00057923" w:rsidP="00057923">
            <w:pPr>
              <w:spacing w:after="0" w:line="276" w:lineRule="auto"/>
              <w:rPr>
                <w:rFonts w:ascii="Book Antiqua" w:eastAsia="Times New Roman" w:hAnsi="Book Antiqua" w:cs="Arial"/>
                <w:b/>
                <w:bCs/>
                <w:sz w:val="18"/>
                <w:szCs w:val="24"/>
                <w:lang w:eastAsia="sk-SK"/>
              </w:rPr>
            </w:pPr>
            <w:r w:rsidRPr="00057923">
              <w:rPr>
                <w:rFonts w:ascii="Book Antiqua" w:eastAsia="Times New Roman" w:hAnsi="Book Antiqua" w:cs="Arial"/>
                <w:b/>
                <w:bCs/>
                <w:sz w:val="18"/>
                <w:szCs w:val="24"/>
                <w:lang w:eastAsia="sk-SK"/>
              </w:rPr>
              <w:t>doplnkový starobný dôchodok</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20"/>
                <w:lang w:eastAsia="sk-SK"/>
              </w:rPr>
            </w:pPr>
            <w:r w:rsidRPr="00057923">
              <w:rPr>
                <w:rFonts w:ascii="Book Antiqua" w:eastAsia="Times New Roman" w:hAnsi="Book Antiqua" w:cs="Arial"/>
                <w:sz w:val="18"/>
                <w:szCs w:val="20"/>
                <w:lang w:eastAsia="sk-SK"/>
              </w:rPr>
              <w:t xml:space="preserve">Potrebná doba platenia príspevkov na vznik nároku na túto dávku </w:t>
            </w:r>
            <w:r w:rsidRPr="00057923">
              <w:rPr>
                <w:rFonts w:ascii="Book Antiqua" w:eastAsia="Times New Roman" w:hAnsi="Book Antiqua" w:cs="Arial"/>
                <w:b/>
                <w:bCs/>
                <w:sz w:val="18"/>
                <w:szCs w:val="20"/>
                <w:u w:val="single"/>
                <w:lang w:eastAsia="sk-SK"/>
              </w:rPr>
              <w:t>nesmela byť dlhšia ako päť rokov</w:t>
            </w:r>
            <w:r w:rsidRPr="00057923">
              <w:rPr>
                <w:rFonts w:ascii="Book Antiqua" w:eastAsia="Times New Roman" w:hAnsi="Book Antiqua" w:cs="Arial"/>
                <w:sz w:val="18"/>
                <w:szCs w:val="20"/>
                <w:lang w:eastAsia="sk-SK"/>
              </w:rPr>
              <w:t xml:space="preserve"> a dôchodkový vek </w:t>
            </w:r>
            <w:r w:rsidRPr="00057923">
              <w:rPr>
                <w:rFonts w:ascii="Book Antiqua" w:eastAsia="Times New Roman" w:hAnsi="Book Antiqua" w:cs="Arial"/>
                <w:b/>
                <w:bCs/>
                <w:sz w:val="18"/>
                <w:szCs w:val="20"/>
                <w:u w:val="single"/>
                <w:lang w:eastAsia="sk-SK"/>
              </w:rPr>
              <w:t>nesmel byť nižší ako 50 rokov.</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20"/>
                <w:lang w:eastAsia="sk-SK"/>
              </w:rPr>
            </w:pPr>
            <w:r w:rsidRPr="00057923">
              <w:rPr>
                <w:rFonts w:ascii="Book Antiqua" w:eastAsia="Times New Roman" w:hAnsi="Book Antiqua" w:cs="Arial"/>
                <w:sz w:val="18"/>
                <w:szCs w:val="20"/>
                <w:lang w:eastAsia="sk-SK"/>
              </w:rPr>
              <w:t xml:space="preserve">Potrebná doba platenia príspevkov na vznik nároku na túto dávku </w:t>
            </w:r>
            <w:r w:rsidRPr="00057923">
              <w:rPr>
                <w:rFonts w:ascii="Book Antiqua" w:eastAsia="Times New Roman" w:hAnsi="Book Antiqua" w:cs="Arial"/>
                <w:b/>
                <w:bCs/>
                <w:sz w:val="18"/>
                <w:szCs w:val="20"/>
                <w:u w:val="single"/>
                <w:lang w:eastAsia="sk-SK"/>
              </w:rPr>
              <w:t>nesmela byť dlhšia ako päť rokov</w:t>
            </w:r>
            <w:r w:rsidRPr="00057923">
              <w:rPr>
                <w:rFonts w:ascii="Book Antiqua" w:eastAsia="Times New Roman" w:hAnsi="Book Antiqua" w:cs="Arial"/>
                <w:sz w:val="18"/>
                <w:szCs w:val="20"/>
                <w:lang w:eastAsia="sk-SK"/>
              </w:rPr>
              <w:t xml:space="preserve"> a dôchodkový vek určený dávkovým plánom </w:t>
            </w:r>
            <w:r w:rsidRPr="00057923">
              <w:rPr>
                <w:rFonts w:ascii="Book Antiqua" w:eastAsia="Times New Roman" w:hAnsi="Book Antiqua" w:cs="Arial"/>
                <w:b/>
                <w:bCs/>
                <w:sz w:val="18"/>
                <w:szCs w:val="20"/>
                <w:u w:val="single"/>
                <w:lang w:eastAsia="sk-SK"/>
              </w:rPr>
              <w:t>nesmel byť nižší ako 50 rokov</w:t>
            </w:r>
          </w:p>
        </w:tc>
      </w:tr>
      <w:tr w:rsidR="00057923" w:rsidRPr="00057923" w:rsidTr="00A62543">
        <w:trPr>
          <w:trHeight w:val="1410"/>
        </w:trPr>
        <w:tc>
          <w:tcPr>
            <w:tcW w:w="1192" w:type="pct"/>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76" w:lineRule="auto"/>
              <w:jc w:val="both"/>
              <w:rPr>
                <w:rFonts w:ascii="Book Antiqua" w:eastAsia="Times New Roman" w:hAnsi="Book Antiqua" w:cs="Arial"/>
                <w:b/>
                <w:bCs/>
                <w:sz w:val="18"/>
                <w:szCs w:val="24"/>
                <w:lang w:eastAsia="sk-SK"/>
              </w:rPr>
            </w:pPr>
            <w:r w:rsidRPr="00057923">
              <w:rPr>
                <w:rFonts w:ascii="Book Antiqua" w:eastAsia="Times New Roman" w:hAnsi="Book Antiqua" w:cs="Arial"/>
                <w:b/>
                <w:bCs/>
                <w:sz w:val="18"/>
                <w:szCs w:val="24"/>
                <w:lang w:eastAsia="sk-SK"/>
              </w:rPr>
              <w:t>doplnkový výsluhový dôchodok</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20"/>
                <w:lang w:eastAsia="sk-SK"/>
              </w:rPr>
            </w:pPr>
            <w:r w:rsidRPr="00057923">
              <w:rPr>
                <w:rFonts w:ascii="Book Antiqua" w:eastAsia="Times New Roman" w:hAnsi="Book Antiqua" w:cs="Arial"/>
                <w:sz w:val="18"/>
                <w:szCs w:val="20"/>
                <w:lang w:eastAsia="sk-SK"/>
              </w:rPr>
              <w:t>Ak dávkový plán upravoval podmienky nároku na výsluhový dôchodok poistencovi vznikol nárok na výsluhový dôchodok, ak vykonával po čas určený dávkovým plánom taký druh práce, ktorého výkonom dávkový plán podmieňuje vznik nároku na tento dôchodok.</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b/>
                <w:bCs/>
                <w:sz w:val="18"/>
                <w:szCs w:val="20"/>
                <w:lang w:eastAsia="sk-SK"/>
              </w:rPr>
            </w:pPr>
            <w:r w:rsidRPr="00057923">
              <w:rPr>
                <w:rFonts w:ascii="Book Antiqua" w:eastAsia="Times New Roman" w:hAnsi="Book Antiqua" w:cs="Arial"/>
                <w:sz w:val="18"/>
                <w:szCs w:val="20"/>
                <w:lang w:eastAsia="sk-SK"/>
              </w:rPr>
              <w:t xml:space="preserve">Nárok na doplnkový výsluhový dôchodok pre poistencov vykonávajúcich práce zaradené do kategórie 3 alebo 4 vznikol v prípade, ak vykonával </w:t>
            </w:r>
            <w:r w:rsidRPr="00057923">
              <w:rPr>
                <w:rFonts w:ascii="Book Antiqua" w:eastAsia="Times New Roman" w:hAnsi="Book Antiqua" w:cs="Arial"/>
                <w:b/>
                <w:bCs/>
                <w:sz w:val="18"/>
                <w:szCs w:val="20"/>
                <w:u w:val="single"/>
                <w:lang w:eastAsia="sk-SK"/>
              </w:rPr>
              <w:t>v období určenom dávkovým plánom, tzv. rizikové práce.</w:t>
            </w:r>
          </w:p>
        </w:tc>
      </w:tr>
      <w:tr w:rsidR="00057923" w:rsidRPr="00057923" w:rsidTr="00A62543">
        <w:trPr>
          <w:trHeight w:val="2700"/>
        </w:trPr>
        <w:tc>
          <w:tcPr>
            <w:tcW w:w="1192" w:type="pct"/>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76" w:lineRule="auto"/>
              <w:jc w:val="both"/>
              <w:rPr>
                <w:rFonts w:ascii="Book Antiqua" w:eastAsia="Times New Roman" w:hAnsi="Book Antiqua" w:cs="Arial"/>
                <w:b/>
                <w:bCs/>
                <w:sz w:val="18"/>
                <w:szCs w:val="24"/>
                <w:lang w:eastAsia="sk-SK"/>
              </w:rPr>
            </w:pPr>
            <w:r w:rsidRPr="00057923">
              <w:rPr>
                <w:rFonts w:ascii="Book Antiqua" w:eastAsia="Times New Roman" w:hAnsi="Book Antiqua" w:cs="Arial"/>
                <w:b/>
                <w:bCs/>
                <w:sz w:val="18"/>
                <w:szCs w:val="24"/>
                <w:lang w:eastAsia="sk-SK"/>
              </w:rPr>
              <w:t>jednorazové vyrovnanie</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20"/>
                <w:lang w:eastAsia="sk-SK"/>
              </w:rPr>
            </w:pPr>
            <w:r w:rsidRPr="00057923">
              <w:rPr>
                <w:rFonts w:ascii="Book Antiqua" w:eastAsia="Times New Roman" w:hAnsi="Book Antiqua" w:cs="Arial"/>
                <w:sz w:val="18"/>
                <w:szCs w:val="20"/>
                <w:lang w:eastAsia="sk-SK"/>
              </w:rPr>
              <w:t xml:space="preserve">Patrilo poistencovi alebo pozostalému po poistencovi, ktorému vznikol nárok na niektorý z doplnkových dôchodkov alebo mu skončil trvalý pobyt na území SR alebo z dôvodu zrušenia doplnkovej dôchodkovej poisťovne, prípadne v iných prípadoch, ak ich určil dávkový plán (musela byť rešpektovaná všeobecná podmienka, </w:t>
            </w:r>
            <w:proofErr w:type="spellStart"/>
            <w:r w:rsidRPr="00057923">
              <w:rPr>
                <w:rFonts w:ascii="Book Antiqua" w:eastAsia="Times New Roman" w:hAnsi="Book Antiqua" w:cs="Arial"/>
                <w:sz w:val="18"/>
                <w:szCs w:val="20"/>
                <w:lang w:eastAsia="sk-SK"/>
              </w:rPr>
              <w:t>t.j</w:t>
            </w:r>
            <w:proofErr w:type="spellEnd"/>
            <w:r w:rsidRPr="00057923">
              <w:rPr>
                <w:rFonts w:ascii="Book Antiqua" w:eastAsia="Times New Roman" w:hAnsi="Book Antiqua" w:cs="Arial"/>
                <w:sz w:val="18"/>
                <w:szCs w:val="20"/>
                <w:lang w:eastAsia="sk-SK"/>
              </w:rPr>
              <w:t>. vznik nároku na niektorý z doplnkových dôchodkov)</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20"/>
                <w:lang w:eastAsia="sk-SK"/>
              </w:rPr>
            </w:pPr>
            <w:r w:rsidRPr="00057923">
              <w:rPr>
                <w:rFonts w:ascii="Book Antiqua" w:eastAsia="Times New Roman" w:hAnsi="Book Antiqua" w:cs="Arial"/>
                <w:sz w:val="18"/>
                <w:szCs w:val="20"/>
                <w:lang w:eastAsia="sk-SK"/>
              </w:rPr>
              <w:t xml:space="preserve">Patrilo poistencovi alebo pozostalému po poistencovi, ktorému vznikol nárok na niektorý z doplnkových dôchodkov alebo mu skončil trvalý pobyt na území SR alebo z dôvodu zrušenia doplnkovej dôchodkovej poisťovne alebo ak mu zanikla účasť na doplnkovom dôchodkovom poistení z dôvodu skončenia zamestnania výpoveďou danou zamestnávateľom, prípadne v iných prípadoch, ak ich určil dávkový plán (musela byť rešpektovaná všeobecná podmienka, </w:t>
            </w:r>
            <w:proofErr w:type="spellStart"/>
            <w:r w:rsidRPr="00057923">
              <w:rPr>
                <w:rFonts w:ascii="Book Antiqua" w:eastAsia="Times New Roman" w:hAnsi="Book Antiqua" w:cs="Arial"/>
                <w:sz w:val="18"/>
                <w:szCs w:val="20"/>
                <w:lang w:eastAsia="sk-SK"/>
              </w:rPr>
              <w:t>t.j</w:t>
            </w:r>
            <w:proofErr w:type="spellEnd"/>
            <w:r w:rsidRPr="00057923">
              <w:rPr>
                <w:rFonts w:ascii="Book Antiqua" w:eastAsia="Times New Roman" w:hAnsi="Book Antiqua" w:cs="Arial"/>
                <w:sz w:val="18"/>
                <w:szCs w:val="20"/>
                <w:lang w:eastAsia="sk-SK"/>
              </w:rPr>
              <w:t>. vznik nároku na niektorý z doplnkových dôchodkov)</w:t>
            </w:r>
          </w:p>
        </w:tc>
      </w:tr>
      <w:tr w:rsidR="00057923" w:rsidRPr="00057923" w:rsidTr="00A62543">
        <w:trPr>
          <w:trHeight w:val="2130"/>
        </w:trPr>
        <w:tc>
          <w:tcPr>
            <w:tcW w:w="1192" w:type="pct"/>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76" w:lineRule="auto"/>
              <w:jc w:val="both"/>
              <w:rPr>
                <w:rFonts w:ascii="Book Antiqua" w:eastAsia="Times New Roman" w:hAnsi="Book Antiqua" w:cs="Arial"/>
                <w:b/>
                <w:bCs/>
                <w:sz w:val="18"/>
                <w:szCs w:val="24"/>
                <w:lang w:eastAsia="sk-SK"/>
              </w:rPr>
            </w:pPr>
            <w:r w:rsidRPr="00057923">
              <w:rPr>
                <w:rFonts w:ascii="Book Antiqua" w:eastAsia="Times New Roman" w:hAnsi="Book Antiqua" w:cs="Arial"/>
                <w:b/>
                <w:bCs/>
                <w:sz w:val="18"/>
                <w:szCs w:val="24"/>
                <w:lang w:eastAsia="sk-SK"/>
              </w:rPr>
              <w:t>odstupné</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20"/>
                <w:lang w:eastAsia="sk-SK"/>
              </w:rPr>
            </w:pPr>
            <w:r w:rsidRPr="00057923">
              <w:rPr>
                <w:rFonts w:ascii="Book Antiqua" w:eastAsia="Times New Roman" w:hAnsi="Book Antiqua" w:cs="Arial"/>
                <w:sz w:val="18"/>
                <w:szCs w:val="20"/>
                <w:lang w:eastAsia="sk-SK"/>
              </w:rPr>
              <w:t>Patrilo poistencovi, ktorému zanikla účasť na doplnkovom dôchodkovom poistení a ktorému nevznikol nárok na doplnkový dôchodok z dôvodu nesplnenia potrebného času platenia príspevkov, ak nepreviedol svoje príspevky, príspevky zamestnávateľa a svoj podiel na výnosoch z hospodárenia DDP do inej DDP, alebo pozostalému po poistencovi, ak zomrel poistenec, ktorému nevznikol nárok na doplnkový dôchodok.</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20"/>
                <w:lang w:eastAsia="sk-SK"/>
              </w:rPr>
            </w:pPr>
            <w:r w:rsidRPr="00057923">
              <w:rPr>
                <w:rFonts w:ascii="Book Antiqua" w:eastAsia="Times New Roman" w:hAnsi="Book Antiqua" w:cs="Arial"/>
                <w:sz w:val="18"/>
                <w:szCs w:val="20"/>
                <w:lang w:eastAsia="sk-SK"/>
              </w:rPr>
              <w:t>Patrilo poistencovi, ktorému zanikla účasť na doplnkovom dôchodkovom poistení a ktorému nevznikol nárok na doplnkový dôchodok z dôvodu nesplnenia potrebného času platenia príspevkov, ak nepreviedol svoje príspevky, príspevky zamestnávateľa a svoj podiel na výnosoch z hospodárenia DDP do inej DDP, alebo pozostalému po poistencovi, ak zomrel poistenec, ktorému nevznikol nárok na doplnkový dôchodok.</w:t>
            </w:r>
          </w:p>
        </w:tc>
      </w:tr>
      <w:tr w:rsidR="00057923" w:rsidRPr="00057923" w:rsidTr="00A62543">
        <w:trPr>
          <w:trHeight w:val="633"/>
        </w:trPr>
        <w:tc>
          <w:tcPr>
            <w:tcW w:w="1192" w:type="pct"/>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76" w:lineRule="auto"/>
              <w:jc w:val="both"/>
              <w:rPr>
                <w:rFonts w:ascii="Book Antiqua" w:eastAsia="Times New Roman" w:hAnsi="Book Antiqua" w:cs="Arial"/>
                <w:b/>
                <w:bCs/>
                <w:sz w:val="18"/>
                <w:szCs w:val="24"/>
                <w:lang w:eastAsia="sk-SK"/>
              </w:rPr>
            </w:pPr>
            <w:r w:rsidRPr="00057923">
              <w:rPr>
                <w:rFonts w:ascii="Book Antiqua" w:eastAsia="Times New Roman" w:hAnsi="Book Antiqua" w:cs="Arial"/>
                <w:b/>
                <w:bCs/>
                <w:sz w:val="18"/>
                <w:szCs w:val="24"/>
                <w:lang w:eastAsia="sk-SK"/>
              </w:rPr>
              <w:t>predčasný výber</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b/>
                <w:bCs/>
                <w:sz w:val="18"/>
                <w:szCs w:val="20"/>
                <w:u w:val="single"/>
                <w:lang w:eastAsia="sk-SK"/>
              </w:rPr>
            </w:pPr>
            <w:r w:rsidRPr="00057923">
              <w:rPr>
                <w:rFonts w:ascii="Book Antiqua" w:eastAsia="Times New Roman" w:hAnsi="Book Antiqua" w:cs="Arial"/>
                <w:b/>
                <w:bCs/>
                <w:sz w:val="18"/>
                <w:szCs w:val="20"/>
                <w:u w:val="single"/>
                <w:lang w:eastAsia="sk-SK"/>
              </w:rPr>
              <w:t>nevypláca sa</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b/>
                <w:bCs/>
                <w:sz w:val="18"/>
                <w:szCs w:val="20"/>
                <w:u w:val="single"/>
                <w:lang w:eastAsia="sk-SK"/>
              </w:rPr>
            </w:pPr>
            <w:r w:rsidRPr="00057923">
              <w:rPr>
                <w:rFonts w:ascii="Book Antiqua" w:eastAsia="Times New Roman" w:hAnsi="Book Antiqua" w:cs="Arial"/>
                <w:b/>
                <w:bCs/>
                <w:sz w:val="18"/>
                <w:szCs w:val="20"/>
                <w:u w:val="single"/>
                <w:lang w:eastAsia="sk-SK"/>
              </w:rPr>
              <w:t>nevypláca sa</w:t>
            </w:r>
          </w:p>
        </w:tc>
      </w:tr>
      <w:tr w:rsidR="00057923" w:rsidRPr="00057923" w:rsidTr="00A62543">
        <w:trPr>
          <w:trHeight w:val="1635"/>
        </w:trPr>
        <w:tc>
          <w:tcPr>
            <w:tcW w:w="1192" w:type="pct"/>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76" w:lineRule="auto"/>
              <w:rPr>
                <w:rFonts w:ascii="Book Antiqua" w:eastAsia="Times New Roman" w:hAnsi="Book Antiqua" w:cs="Arial"/>
                <w:b/>
                <w:bCs/>
                <w:sz w:val="18"/>
                <w:szCs w:val="24"/>
                <w:lang w:eastAsia="sk-SK"/>
              </w:rPr>
            </w:pPr>
            <w:r w:rsidRPr="00057923">
              <w:rPr>
                <w:rFonts w:ascii="Book Antiqua" w:eastAsia="Times New Roman" w:hAnsi="Book Antiqua" w:cs="Arial"/>
                <w:b/>
                <w:bCs/>
                <w:sz w:val="18"/>
                <w:szCs w:val="24"/>
                <w:lang w:eastAsia="sk-SK"/>
              </w:rPr>
              <w:lastRenderedPageBreak/>
              <w:t>doplnkový invalidný dôchodok</w:t>
            </w:r>
            <w:r w:rsidRPr="00057923">
              <w:rPr>
                <w:rFonts w:ascii="Book Antiqua" w:eastAsia="Times New Roman" w:hAnsi="Book Antiqua" w:cs="Arial"/>
                <w:sz w:val="18"/>
                <w:szCs w:val="24"/>
                <w:lang w:eastAsia="sk-SK"/>
              </w:rPr>
              <w:t xml:space="preserve"> </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20"/>
                <w:lang w:eastAsia="sk-SK"/>
              </w:rPr>
            </w:pPr>
            <w:r w:rsidRPr="00057923">
              <w:rPr>
                <w:rFonts w:ascii="Book Antiqua" w:eastAsia="Times New Roman" w:hAnsi="Book Antiqua" w:cs="Arial"/>
                <w:sz w:val="18"/>
                <w:szCs w:val="20"/>
                <w:lang w:eastAsia="sk-SK"/>
              </w:rPr>
              <w:t xml:space="preserve">Ak </w:t>
            </w:r>
            <w:r w:rsidRPr="00057923">
              <w:rPr>
                <w:rFonts w:ascii="Book Antiqua" w:eastAsia="Times New Roman" w:hAnsi="Book Antiqua" w:cs="Arial"/>
                <w:b/>
                <w:bCs/>
                <w:sz w:val="18"/>
                <w:szCs w:val="20"/>
                <w:lang w:eastAsia="sk-SK"/>
              </w:rPr>
              <w:t>dávkový plán</w:t>
            </w:r>
            <w:r w:rsidRPr="00057923">
              <w:rPr>
                <w:rFonts w:ascii="Book Antiqua" w:eastAsia="Times New Roman" w:hAnsi="Book Antiqua" w:cs="Arial"/>
                <w:sz w:val="18"/>
                <w:szCs w:val="20"/>
                <w:lang w:eastAsia="sk-SK"/>
              </w:rPr>
              <w:t xml:space="preserve"> upravoval podmienky nároku na doplnkový invalidný dôchodok poistencovi vznikol nárok na doplnkový invalidný dôchodok, </w:t>
            </w:r>
            <w:r w:rsidRPr="00057923">
              <w:rPr>
                <w:rFonts w:ascii="Book Antiqua" w:eastAsia="Times New Roman" w:hAnsi="Book Antiqua" w:cs="Arial"/>
                <w:b/>
                <w:bCs/>
                <w:sz w:val="18"/>
                <w:szCs w:val="20"/>
                <w:u w:val="single"/>
                <w:lang w:eastAsia="sk-SK"/>
              </w:rPr>
              <w:t>ak mu vznikol nárok na invalidný dôchodok z dôchodkového zabezpečenia</w:t>
            </w:r>
            <w:r w:rsidRPr="00057923">
              <w:rPr>
                <w:rFonts w:ascii="Book Antiqua" w:eastAsia="Times New Roman" w:hAnsi="Book Antiqua" w:cs="Arial"/>
                <w:sz w:val="18"/>
                <w:szCs w:val="20"/>
                <w:lang w:eastAsia="sk-SK"/>
              </w:rPr>
              <w:t xml:space="preserve"> (poistenia) a ak splnil podmienky určené dávkovým plánom.</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20"/>
                <w:lang w:eastAsia="sk-SK"/>
              </w:rPr>
            </w:pPr>
            <w:r w:rsidRPr="00057923">
              <w:rPr>
                <w:rFonts w:ascii="Book Antiqua" w:eastAsia="Times New Roman" w:hAnsi="Book Antiqua" w:cs="Arial"/>
                <w:sz w:val="18"/>
                <w:szCs w:val="20"/>
                <w:lang w:eastAsia="sk-SK"/>
              </w:rPr>
              <w:t xml:space="preserve">Ak </w:t>
            </w:r>
            <w:r w:rsidRPr="00057923">
              <w:rPr>
                <w:rFonts w:ascii="Book Antiqua" w:eastAsia="Times New Roman" w:hAnsi="Book Antiqua" w:cs="Arial"/>
                <w:b/>
                <w:bCs/>
                <w:sz w:val="18"/>
                <w:szCs w:val="20"/>
                <w:lang w:eastAsia="sk-SK"/>
              </w:rPr>
              <w:t>dávkový plán</w:t>
            </w:r>
            <w:r w:rsidRPr="00057923">
              <w:rPr>
                <w:rFonts w:ascii="Book Antiqua" w:eastAsia="Times New Roman" w:hAnsi="Book Antiqua" w:cs="Arial"/>
                <w:sz w:val="18"/>
                <w:szCs w:val="20"/>
                <w:lang w:eastAsia="sk-SK"/>
              </w:rPr>
              <w:t xml:space="preserve"> upravoval podmienky nároku na doplnkový invalidný dôchodok poistencovi vznikol nárok na doplnkový invalidný dôchodok, </w:t>
            </w:r>
            <w:r w:rsidRPr="00057923">
              <w:rPr>
                <w:rFonts w:ascii="Book Antiqua" w:eastAsia="Times New Roman" w:hAnsi="Book Antiqua" w:cs="Arial"/>
                <w:b/>
                <w:bCs/>
                <w:sz w:val="18"/>
                <w:szCs w:val="20"/>
                <w:u w:val="single"/>
                <w:lang w:eastAsia="sk-SK"/>
              </w:rPr>
              <w:t>ak mu vznikol nárok na invalidný dôchodok z dôchodkového zabezpečenia</w:t>
            </w:r>
            <w:r w:rsidRPr="00057923">
              <w:rPr>
                <w:rFonts w:ascii="Book Antiqua" w:eastAsia="Times New Roman" w:hAnsi="Book Antiqua" w:cs="Arial"/>
                <w:sz w:val="18"/>
                <w:szCs w:val="20"/>
                <w:lang w:eastAsia="sk-SK"/>
              </w:rPr>
              <w:t xml:space="preserve"> (poistenia) a ak splnil podmienky určené dávkovým plánom.</w:t>
            </w:r>
          </w:p>
        </w:tc>
      </w:tr>
      <w:tr w:rsidR="00057923" w:rsidRPr="00057923" w:rsidTr="00A62543">
        <w:trPr>
          <w:trHeight w:val="1500"/>
        </w:trPr>
        <w:tc>
          <w:tcPr>
            <w:tcW w:w="1192" w:type="pct"/>
            <w:tcBorders>
              <w:top w:val="nil"/>
              <w:left w:val="single" w:sz="4" w:space="0" w:color="auto"/>
              <w:bottom w:val="single" w:sz="4" w:space="0" w:color="auto"/>
              <w:right w:val="single" w:sz="4" w:space="0" w:color="auto"/>
            </w:tcBorders>
            <w:vAlign w:val="center"/>
            <w:hideMark/>
          </w:tcPr>
          <w:p w:rsidR="00057923" w:rsidRPr="00057923" w:rsidRDefault="00057923" w:rsidP="00057923">
            <w:pPr>
              <w:spacing w:after="0" w:line="276" w:lineRule="auto"/>
              <w:rPr>
                <w:rFonts w:ascii="Book Antiqua" w:eastAsia="Times New Roman" w:hAnsi="Book Antiqua" w:cs="Arial"/>
                <w:b/>
                <w:bCs/>
                <w:sz w:val="18"/>
                <w:szCs w:val="24"/>
                <w:lang w:eastAsia="sk-SK"/>
              </w:rPr>
            </w:pPr>
            <w:r w:rsidRPr="00057923">
              <w:rPr>
                <w:rFonts w:ascii="Book Antiqua" w:eastAsia="Times New Roman" w:hAnsi="Book Antiqua" w:cs="Arial"/>
                <w:b/>
                <w:bCs/>
                <w:sz w:val="18"/>
                <w:szCs w:val="24"/>
                <w:lang w:eastAsia="sk-SK"/>
              </w:rPr>
              <w:t>pozostalostný dôchodok</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20"/>
                <w:lang w:eastAsia="sk-SK"/>
              </w:rPr>
            </w:pPr>
            <w:r w:rsidRPr="00057923">
              <w:rPr>
                <w:rFonts w:ascii="Book Antiqua" w:eastAsia="Times New Roman" w:hAnsi="Book Antiqua" w:cs="Arial"/>
                <w:sz w:val="18"/>
                <w:szCs w:val="20"/>
                <w:lang w:eastAsia="sk-SK"/>
              </w:rPr>
              <w:t xml:space="preserve">Pozostalému po poistencovi vznikol nárok na pozostalostný dôchodok, ak </w:t>
            </w:r>
            <w:r w:rsidRPr="00057923">
              <w:rPr>
                <w:rFonts w:ascii="Book Antiqua" w:eastAsia="Times New Roman" w:hAnsi="Book Antiqua" w:cs="Arial"/>
                <w:b/>
                <w:bCs/>
                <w:sz w:val="18"/>
                <w:szCs w:val="20"/>
                <w:u w:val="single"/>
                <w:lang w:eastAsia="sk-SK"/>
              </w:rPr>
              <w:t>zomrel poistenec</w:t>
            </w:r>
            <w:r w:rsidRPr="00057923">
              <w:rPr>
                <w:rFonts w:ascii="Book Antiqua" w:eastAsia="Times New Roman" w:hAnsi="Book Antiqua" w:cs="Arial"/>
                <w:sz w:val="18"/>
                <w:szCs w:val="20"/>
                <w:lang w:eastAsia="sk-SK"/>
              </w:rPr>
              <w:t>, ktorý splnil podmienky nároku na doplnkový starobný dôchodok alebo na výsluhový dôchodok, alebo na doplnkový invalidný dôchodok určené dávkovým plánom.</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20"/>
                <w:lang w:eastAsia="sk-SK"/>
              </w:rPr>
            </w:pPr>
            <w:r w:rsidRPr="00057923">
              <w:rPr>
                <w:rFonts w:ascii="Book Antiqua" w:eastAsia="Times New Roman" w:hAnsi="Book Antiqua" w:cs="Arial"/>
                <w:sz w:val="18"/>
                <w:szCs w:val="20"/>
                <w:lang w:eastAsia="sk-SK"/>
              </w:rPr>
              <w:t xml:space="preserve">Pozostalému po poistencovi vznikol nárok na pozostalostný dôchodok, ak </w:t>
            </w:r>
            <w:r w:rsidRPr="00057923">
              <w:rPr>
                <w:rFonts w:ascii="Book Antiqua" w:eastAsia="Times New Roman" w:hAnsi="Book Antiqua" w:cs="Arial"/>
                <w:b/>
                <w:bCs/>
                <w:sz w:val="18"/>
                <w:szCs w:val="20"/>
                <w:u w:val="single"/>
                <w:lang w:eastAsia="sk-SK"/>
              </w:rPr>
              <w:t>zomrel poistenec</w:t>
            </w:r>
            <w:r w:rsidRPr="00057923">
              <w:rPr>
                <w:rFonts w:ascii="Book Antiqua" w:eastAsia="Times New Roman" w:hAnsi="Book Antiqua" w:cs="Arial"/>
                <w:sz w:val="18"/>
                <w:szCs w:val="20"/>
                <w:lang w:eastAsia="sk-SK"/>
              </w:rPr>
              <w:t>, ktorý splnil podmienky nároku na doplnkový starobný dôchodok alebo na výsluhový dôchodok, alebo na doplnkový invalidný dôchodok určené dávkovým plánom.</w:t>
            </w:r>
          </w:p>
        </w:tc>
      </w:tr>
      <w:tr w:rsidR="00057923" w:rsidRPr="00057923" w:rsidTr="00A62543">
        <w:trPr>
          <w:trHeight w:val="1890"/>
        </w:trPr>
        <w:tc>
          <w:tcPr>
            <w:tcW w:w="1192" w:type="pct"/>
            <w:tcBorders>
              <w:top w:val="nil"/>
              <w:left w:val="single" w:sz="4" w:space="0" w:color="auto"/>
              <w:bottom w:val="single" w:sz="4" w:space="0" w:color="auto"/>
              <w:right w:val="single" w:sz="4" w:space="0" w:color="auto"/>
            </w:tcBorders>
            <w:vAlign w:val="center"/>
            <w:hideMark/>
          </w:tcPr>
          <w:p w:rsidR="00057923" w:rsidRPr="00057923" w:rsidRDefault="00057923" w:rsidP="00057923">
            <w:pPr>
              <w:spacing w:after="0" w:line="276" w:lineRule="auto"/>
              <w:rPr>
                <w:rFonts w:ascii="Book Antiqua" w:eastAsia="Times New Roman" w:hAnsi="Book Antiqua" w:cs="Arial"/>
                <w:b/>
                <w:bCs/>
                <w:sz w:val="18"/>
                <w:szCs w:val="24"/>
                <w:lang w:eastAsia="sk-SK"/>
              </w:rPr>
            </w:pPr>
            <w:r w:rsidRPr="00057923">
              <w:rPr>
                <w:rFonts w:ascii="Book Antiqua" w:eastAsia="Times New Roman" w:hAnsi="Book Antiqua" w:cs="Arial"/>
                <w:b/>
                <w:bCs/>
                <w:sz w:val="18"/>
                <w:szCs w:val="24"/>
                <w:lang w:eastAsia="sk-SK"/>
              </w:rPr>
              <w:t xml:space="preserve">výsluhový dôchodok </w:t>
            </w:r>
          </w:p>
          <w:p w:rsidR="00057923" w:rsidRPr="00057923" w:rsidRDefault="00057923" w:rsidP="00057923">
            <w:pPr>
              <w:spacing w:after="0" w:line="276" w:lineRule="auto"/>
              <w:rPr>
                <w:rFonts w:ascii="Book Antiqua" w:eastAsia="Times New Roman" w:hAnsi="Book Antiqua" w:cs="Arial"/>
                <w:b/>
                <w:bCs/>
                <w:sz w:val="18"/>
                <w:szCs w:val="24"/>
                <w:lang w:eastAsia="sk-SK"/>
              </w:rPr>
            </w:pPr>
            <w:r w:rsidRPr="00057923">
              <w:rPr>
                <w:rFonts w:ascii="Book Antiqua" w:eastAsia="Times New Roman" w:hAnsi="Book Antiqua" w:cs="Arial"/>
                <w:sz w:val="18"/>
                <w:szCs w:val="24"/>
                <w:lang w:eastAsia="sk-SK"/>
              </w:rPr>
              <w:t>pre poistencov, ktorí nespĺňajú podmienky na poskytnutie výsluhového dôchodku pre poistencov vykonávajúcich práce zaradené do kategórie 3 alebo 4</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b/>
                <w:bCs/>
                <w:sz w:val="18"/>
                <w:szCs w:val="20"/>
                <w:u w:val="single"/>
                <w:lang w:eastAsia="sk-SK"/>
              </w:rPr>
            </w:pPr>
            <w:r w:rsidRPr="00057923">
              <w:rPr>
                <w:rFonts w:ascii="Book Antiqua" w:eastAsia="Times New Roman" w:hAnsi="Book Antiqua" w:cs="Arial"/>
                <w:b/>
                <w:bCs/>
                <w:sz w:val="18"/>
                <w:szCs w:val="20"/>
                <w:u w:val="single"/>
                <w:lang w:eastAsia="sk-SK"/>
              </w:rPr>
              <w:t>nevypláca sa</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20"/>
                <w:lang w:eastAsia="sk-SK"/>
              </w:rPr>
            </w:pPr>
            <w:r w:rsidRPr="00057923">
              <w:rPr>
                <w:rFonts w:ascii="Book Antiqua" w:eastAsia="Times New Roman" w:hAnsi="Book Antiqua" w:cs="Arial"/>
                <w:sz w:val="18"/>
                <w:szCs w:val="20"/>
                <w:lang w:eastAsia="sk-SK"/>
              </w:rPr>
              <w:t xml:space="preserve">Ak </w:t>
            </w:r>
            <w:r w:rsidRPr="00057923">
              <w:rPr>
                <w:rFonts w:ascii="Book Antiqua" w:eastAsia="Times New Roman" w:hAnsi="Book Antiqua" w:cs="Arial"/>
                <w:b/>
                <w:bCs/>
                <w:sz w:val="18"/>
                <w:szCs w:val="20"/>
                <w:lang w:eastAsia="sk-SK"/>
              </w:rPr>
              <w:t>dávkový plán</w:t>
            </w:r>
            <w:r w:rsidRPr="00057923">
              <w:rPr>
                <w:rFonts w:ascii="Book Antiqua" w:eastAsia="Times New Roman" w:hAnsi="Book Antiqua" w:cs="Arial"/>
                <w:sz w:val="18"/>
                <w:szCs w:val="20"/>
                <w:lang w:eastAsia="sk-SK"/>
              </w:rPr>
              <w:t xml:space="preserve"> upravoval podmienky nároku na výsluhový dôchodok poistencovi vznikol nárok na výsluhový dôchodok, ak nespĺňal podmienky nároku na výsluhový dôchodok pre poistencov vykonávajúcich práce zaradené do kategórie 3 alebo 4, a vykonával v období určenom dávkovým plánom taký druh práce, ktorého výkonom dávkový plán podmieňoval vznik nároku na tento dôchodok,</w:t>
            </w:r>
          </w:p>
        </w:tc>
      </w:tr>
    </w:tbl>
    <w:p w:rsidR="00057923" w:rsidRPr="00057923" w:rsidRDefault="00057923" w:rsidP="00057923">
      <w:pPr>
        <w:spacing w:after="200" w:line="276" w:lineRule="auto"/>
        <w:jc w:val="both"/>
        <w:rPr>
          <w:rFonts w:ascii="Times New Roman" w:eastAsia="Times New Roman" w:hAnsi="Times New Roman" w:cs="Times New Roman"/>
          <w:i/>
          <w:sz w:val="24"/>
          <w:szCs w:val="24"/>
        </w:rPr>
      </w:pPr>
    </w:p>
    <w:p w:rsidR="00057923" w:rsidRPr="00057923" w:rsidRDefault="00057923" w:rsidP="00057923">
      <w:pPr>
        <w:keepNext/>
        <w:spacing w:after="200" w:line="276" w:lineRule="auto"/>
        <w:jc w:val="both"/>
        <w:rPr>
          <w:rFonts w:ascii="Book Antiqua" w:eastAsia="Times New Roman" w:hAnsi="Book Antiqua" w:cs="Times New Roman"/>
          <w:b/>
          <w:bCs/>
          <w:i/>
        </w:rPr>
      </w:pPr>
      <w:r w:rsidRPr="00057923">
        <w:rPr>
          <w:rFonts w:ascii="Book Antiqua" w:eastAsia="Times New Roman" w:hAnsi="Book Antiqua" w:cs="Times New Roman"/>
          <w:b/>
          <w:bCs/>
          <w:i/>
        </w:rPr>
        <w:t xml:space="preserve">Tabuľka 12: </w:t>
      </w:r>
      <w:r w:rsidRPr="00057923">
        <w:rPr>
          <w:rFonts w:ascii="Book Antiqua" w:eastAsia="Times New Roman" w:hAnsi="Book Antiqua" w:cs="Times New Roman"/>
          <w:bCs/>
          <w:i/>
        </w:rPr>
        <w:t>Podmienky vyplácania jednotlivých dávok DDS podľa uzatvorenej zmluvy</w:t>
      </w:r>
    </w:p>
    <w:tbl>
      <w:tblPr>
        <w:tblW w:w="5000" w:type="pct"/>
        <w:tblLayout w:type="fixed"/>
        <w:tblCellMar>
          <w:left w:w="70" w:type="dxa"/>
          <w:right w:w="70" w:type="dxa"/>
        </w:tblCellMar>
        <w:tblLook w:val="04A0" w:firstRow="1" w:lastRow="0" w:firstColumn="1" w:lastColumn="0" w:noHBand="0" w:noVBand="1"/>
      </w:tblPr>
      <w:tblGrid>
        <w:gridCol w:w="2160"/>
        <w:gridCol w:w="3450"/>
        <w:gridCol w:w="3450"/>
      </w:tblGrid>
      <w:tr w:rsidR="00057923" w:rsidRPr="00057923" w:rsidTr="00A62543">
        <w:trPr>
          <w:trHeight w:val="1353"/>
        </w:trPr>
        <w:tc>
          <w:tcPr>
            <w:tcW w:w="119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57923" w:rsidRPr="00057923" w:rsidRDefault="00057923" w:rsidP="00057923">
            <w:pPr>
              <w:spacing w:after="0" w:line="276" w:lineRule="auto"/>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Dávky vyplácané v systéme DDS</w:t>
            </w:r>
          </w:p>
        </w:tc>
        <w:tc>
          <w:tcPr>
            <w:tcW w:w="1904" w:type="pct"/>
            <w:tcBorders>
              <w:top w:val="single" w:sz="4" w:space="0" w:color="auto"/>
              <w:left w:val="nil"/>
              <w:bottom w:val="single" w:sz="4" w:space="0" w:color="auto"/>
              <w:right w:val="single" w:sz="4" w:space="0" w:color="auto"/>
            </w:tcBorders>
            <w:shd w:val="clear" w:color="auto" w:fill="A6A6A6" w:themeFill="background1" w:themeFillShade="A6"/>
            <w:hideMark/>
          </w:tcPr>
          <w:p w:rsidR="00057923" w:rsidRPr="00057923" w:rsidRDefault="00057923" w:rsidP="00057923">
            <w:pPr>
              <w:spacing w:after="0" w:line="276"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Účastníci, ktorí svoju zmluvu uzavreli od 1.1.2005 do 31.12.2013 a súčasťou ich zmluvy je dávkový plán</w:t>
            </w:r>
          </w:p>
        </w:tc>
        <w:tc>
          <w:tcPr>
            <w:tcW w:w="1904" w:type="pct"/>
            <w:tcBorders>
              <w:top w:val="single" w:sz="4" w:space="0" w:color="auto"/>
              <w:left w:val="nil"/>
              <w:bottom w:val="single" w:sz="4" w:space="0" w:color="auto"/>
              <w:right w:val="single" w:sz="4" w:space="0" w:color="auto"/>
            </w:tcBorders>
            <w:shd w:val="clear" w:color="auto" w:fill="A6A6A6" w:themeFill="background1" w:themeFillShade="A6"/>
            <w:hideMark/>
          </w:tcPr>
          <w:p w:rsidR="00057923" w:rsidRPr="00057923" w:rsidRDefault="00057923" w:rsidP="00057923">
            <w:pPr>
              <w:spacing w:after="0" w:line="276" w:lineRule="auto"/>
              <w:jc w:val="center"/>
              <w:rPr>
                <w:rFonts w:ascii="Book Antiqua" w:eastAsia="Times New Roman" w:hAnsi="Book Antiqua" w:cs="Calibri"/>
                <w:b/>
                <w:bCs/>
                <w:color w:val="FFFFFF"/>
                <w:sz w:val="18"/>
                <w:szCs w:val="18"/>
                <w:lang w:eastAsia="sk-SK"/>
              </w:rPr>
            </w:pPr>
            <w:r w:rsidRPr="00057923">
              <w:rPr>
                <w:rFonts w:ascii="Book Antiqua" w:eastAsia="Times New Roman" w:hAnsi="Book Antiqua" w:cs="Calibri"/>
                <w:b/>
                <w:bCs/>
                <w:color w:val="FFFFFF"/>
                <w:sz w:val="18"/>
                <w:szCs w:val="18"/>
                <w:lang w:eastAsia="sk-SK"/>
              </w:rPr>
              <w:t>Účastníkom, ktorí svoju zmluvu uzavreli od 1.1.2014 resp. podpísali dodatok k účastníckej zmluve, ktorým sa zrušil ich dávkový plán upravuje dávky, ktoré im môžu byť vyplatené zákon o DDS</w:t>
            </w:r>
          </w:p>
        </w:tc>
      </w:tr>
      <w:tr w:rsidR="00057923" w:rsidRPr="00057923" w:rsidTr="00A62543">
        <w:trPr>
          <w:trHeight w:val="1995"/>
        </w:trPr>
        <w:tc>
          <w:tcPr>
            <w:tcW w:w="1192" w:type="pct"/>
            <w:tcBorders>
              <w:top w:val="nil"/>
              <w:left w:val="single" w:sz="4" w:space="0" w:color="auto"/>
              <w:bottom w:val="single" w:sz="4" w:space="0" w:color="auto"/>
              <w:right w:val="single" w:sz="4" w:space="0" w:color="auto"/>
            </w:tcBorders>
            <w:vAlign w:val="center"/>
            <w:hideMark/>
          </w:tcPr>
          <w:p w:rsidR="00057923" w:rsidRPr="00057923" w:rsidRDefault="00057923" w:rsidP="00057923">
            <w:pPr>
              <w:spacing w:after="0" w:line="276" w:lineRule="auto"/>
              <w:rPr>
                <w:rFonts w:ascii="Book Antiqua" w:eastAsia="Times New Roman" w:hAnsi="Book Antiqua" w:cs="Arial"/>
                <w:b/>
                <w:bCs/>
                <w:sz w:val="18"/>
                <w:szCs w:val="18"/>
                <w:lang w:eastAsia="sk-SK"/>
              </w:rPr>
            </w:pPr>
            <w:r w:rsidRPr="00057923">
              <w:rPr>
                <w:rFonts w:ascii="Book Antiqua" w:eastAsia="Times New Roman" w:hAnsi="Book Antiqua" w:cs="Arial"/>
                <w:b/>
                <w:bCs/>
                <w:sz w:val="18"/>
                <w:szCs w:val="18"/>
                <w:lang w:eastAsia="sk-SK"/>
              </w:rPr>
              <w:t>doplnkový starobný dôchodok</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18"/>
                <w:lang w:eastAsia="sk-SK"/>
              </w:rPr>
            </w:pPr>
            <w:r w:rsidRPr="00057923">
              <w:rPr>
                <w:rFonts w:ascii="Book Antiqua" w:eastAsia="Times New Roman" w:hAnsi="Book Antiqua" w:cs="Arial"/>
                <w:sz w:val="18"/>
                <w:szCs w:val="18"/>
                <w:lang w:eastAsia="sk-SK"/>
              </w:rPr>
              <w:t xml:space="preserve">Môže sa  vyplácať po dosiahnutí minimálneho obdobia doplnkového dôchodkového sporenia určené dávkovým plánom, ktoré </w:t>
            </w:r>
            <w:r w:rsidRPr="00057923">
              <w:rPr>
                <w:rFonts w:ascii="Book Antiqua" w:eastAsia="Times New Roman" w:hAnsi="Book Antiqua" w:cs="Arial"/>
                <w:b/>
                <w:bCs/>
                <w:sz w:val="18"/>
                <w:szCs w:val="18"/>
                <w:u w:val="single"/>
                <w:lang w:eastAsia="sk-SK"/>
              </w:rPr>
              <w:t>nesmie byť kratšie ako 10 rokov</w:t>
            </w:r>
            <w:r w:rsidRPr="00057923">
              <w:rPr>
                <w:rFonts w:ascii="Book Antiqua" w:eastAsia="Times New Roman" w:hAnsi="Book Antiqua" w:cs="Arial"/>
                <w:sz w:val="18"/>
                <w:szCs w:val="18"/>
                <w:lang w:eastAsia="sk-SK"/>
              </w:rPr>
              <w:t xml:space="preserve"> a súčasne aj potrebného veku určeného dávkovým plánom, ktorý </w:t>
            </w:r>
            <w:r w:rsidRPr="00057923">
              <w:rPr>
                <w:rFonts w:ascii="Book Antiqua" w:eastAsia="Times New Roman" w:hAnsi="Book Antiqua" w:cs="Arial"/>
                <w:b/>
                <w:bCs/>
                <w:sz w:val="18"/>
                <w:szCs w:val="18"/>
                <w:u w:val="single"/>
                <w:lang w:eastAsia="sk-SK"/>
              </w:rPr>
              <w:t>nesmie byť nižší ako 55 rokov.</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18"/>
                <w:lang w:eastAsia="sk-SK"/>
              </w:rPr>
            </w:pPr>
            <w:r w:rsidRPr="00057923">
              <w:rPr>
                <w:rFonts w:ascii="Book Antiqua" w:eastAsia="Times New Roman" w:hAnsi="Book Antiqua" w:cs="Arial"/>
                <w:sz w:val="18"/>
                <w:szCs w:val="18"/>
                <w:lang w:eastAsia="sk-SK"/>
              </w:rPr>
              <w:t xml:space="preserve">Vypláca sa na žiadosť účastníka </w:t>
            </w:r>
            <w:r w:rsidRPr="00057923">
              <w:rPr>
                <w:rFonts w:ascii="Book Antiqua" w:eastAsia="Times New Roman" w:hAnsi="Book Antiqua" w:cs="Arial"/>
                <w:b/>
                <w:bCs/>
                <w:sz w:val="18"/>
                <w:szCs w:val="18"/>
                <w:u w:val="single"/>
                <w:lang w:eastAsia="sk-SK"/>
              </w:rPr>
              <w:t>po dosiahnutí dôchodkového veku</w:t>
            </w:r>
            <w:r w:rsidRPr="00057923">
              <w:rPr>
                <w:rFonts w:ascii="Book Antiqua" w:eastAsia="Times New Roman" w:hAnsi="Book Antiqua" w:cs="Arial"/>
                <w:sz w:val="18"/>
                <w:szCs w:val="18"/>
                <w:lang w:eastAsia="sk-SK"/>
              </w:rPr>
              <w:t>, resp. ak poberá predčasný starobný / starobný dôchodok z I. piliera.</w:t>
            </w:r>
          </w:p>
        </w:tc>
      </w:tr>
      <w:tr w:rsidR="00057923" w:rsidRPr="00057923" w:rsidTr="00A62543">
        <w:trPr>
          <w:trHeight w:val="1410"/>
        </w:trPr>
        <w:tc>
          <w:tcPr>
            <w:tcW w:w="1192" w:type="pct"/>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76" w:lineRule="auto"/>
              <w:rPr>
                <w:rFonts w:ascii="Book Antiqua" w:eastAsia="Times New Roman" w:hAnsi="Book Antiqua" w:cs="Arial"/>
                <w:b/>
                <w:bCs/>
                <w:sz w:val="18"/>
                <w:szCs w:val="18"/>
                <w:lang w:eastAsia="sk-SK"/>
              </w:rPr>
            </w:pPr>
            <w:r w:rsidRPr="00057923">
              <w:rPr>
                <w:rFonts w:ascii="Book Antiqua" w:eastAsia="Times New Roman" w:hAnsi="Book Antiqua" w:cs="Arial"/>
                <w:b/>
                <w:bCs/>
                <w:sz w:val="18"/>
                <w:szCs w:val="18"/>
                <w:lang w:eastAsia="sk-SK"/>
              </w:rPr>
              <w:t>doplnkový výsluhový dôchodok</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b/>
                <w:bCs/>
                <w:sz w:val="18"/>
                <w:szCs w:val="18"/>
                <w:lang w:eastAsia="sk-SK"/>
              </w:rPr>
            </w:pPr>
            <w:r w:rsidRPr="00057923">
              <w:rPr>
                <w:rFonts w:ascii="Book Antiqua" w:eastAsia="Times New Roman" w:hAnsi="Book Antiqua" w:cs="Arial"/>
                <w:sz w:val="18"/>
                <w:szCs w:val="18"/>
                <w:lang w:eastAsia="sk-SK"/>
              </w:rPr>
              <w:t xml:space="preserve">Je určený pre </w:t>
            </w:r>
            <w:proofErr w:type="spellStart"/>
            <w:r w:rsidRPr="00057923">
              <w:rPr>
                <w:rFonts w:ascii="Book Antiqua" w:eastAsia="Times New Roman" w:hAnsi="Book Antiqua" w:cs="Arial"/>
                <w:sz w:val="18"/>
                <w:szCs w:val="18"/>
                <w:lang w:eastAsia="sk-SK"/>
              </w:rPr>
              <w:t>rizikárov</w:t>
            </w:r>
            <w:proofErr w:type="spellEnd"/>
            <w:r w:rsidRPr="00057923">
              <w:rPr>
                <w:rFonts w:ascii="Book Antiqua" w:eastAsia="Times New Roman" w:hAnsi="Book Antiqua" w:cs="Arial"/>
                <w:sz w:val="18"/>
                <w:szCs w:val="18"/>
                <w:lang w:eastAsia="sk-SK"/>
              </w:rPr>
              <w:t xml:space="preserve">, za ktorých platil zamestnávateľ príspevky ako za </w:t>
            </w:r>
            <w:proofErr w:type="spellStart"/>
            <w:r w:rsidRPr="00057923">
              <w:rPr>
                <w:rFonts w:ascii="Book Antiqua" w:eastAsia="Times New Roman" w:hAnsi="Book Antiqua" w:cs="Arial"/>
                <w:sz w:val="18"/>
                <w:szCs w:val="18"/>
                <w:lang w:eastAsia="sk-SK"/>
              </w:rPr>
              <w:t>rizikárov</w:t>
            </w:r>
            <w:proofErr w:type="spellEnd"/>
            <w:r w:rsidRPr="00057923">
              <w:rPr>
                <w:rFonts w:ascii="Book Antiqua" w:eastAsia="Times New Roman" w:hAnsi="Book Antiqua" w:cs="Arial"/>
                <w:sz w:val="18"/>
                <w:szCs w:val="18"/>
                <w:lang w:eastAsia="sk-SK"/>
              </w:rPr>
              <w:t xml:space="preserve"> minimálne obdobie určené dávkovým plánom, avšak toto obdobie </w:t>
            </w:r>
            <w:r w:rsidRPr="00057923">
              <w:rPr>
                <w:rFonts w:ascii="Book Antiqua" w:eastAsia="Times New Roman" w:hAnsi="Book Antiqua" w:cs="Arial"/>
                <w:b/>
                <w:bCs/>
                <w:sz w:val="18"/>
                <w:szCs w:val="18"/>
                <w:u w:val="single"/>
                <w:lang w:eastAsia="sk-SK"/>
              </w:rPr>
              <w:t>nemôže byť kratšie ako 5 rokov</w:t>
            </w:r>
            <w:r w:rsidRPr="00057923">
              <w:rPr>
                <w:rFonts w:ascii="Book Antiqua" w:eastAsia="Times New Roman" w:hAnsi="Book Antiqua" w:cs="Arial"/>
                <w:sz w:val="18"/>
                <w:szCs w:val="18"/>
                <w:lang w:eastAsia="sk-SK"/>
              </w:rPr>
              <w:t xml:space="preserve"> a súčasne dovŕšili potrebný vek určený dávkovým plánom, ktorý </w:t>
            </w:r>
            <w:r w:rsidRPr="00057923">
              <w:rPr>
                <w:rFonts w:ascii="Book Antiqua" w:eastAsia="Times New Roman" w:hAnsi="Book Antiqua" w:cs="Arial"/>
                <w:b/>
                <w:bCs/>
                <w:sz w:val="18"/>
                <w:szCs w:val="18"/>
                <w:u w:val="single"/>
                <w:lang w:eastAsia="sk-SK"/>
              </w:rPr>
              <w:t>nesmie byť nižší ako 40 rokov.</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18"/>
                <w:lang w:eastAsia="sk-SK"/>
              </w:rPr>
            </w:pPr>
            <w:r w:rsidRPr="00057923">
              <w:rPr>
                <w:rFonts w:ascii="Book Antiqua" w:eastAsia="Times New Roman" w:hAnsi="Book Antiqua" w:cs="Arial"/>
                <w:sz w:val="18"/>
                <w:szCs w:val="18"/>
                <w:lang w:eastAsia="sk-SK"/>
              </w:rPr>
              <w:t xml:space="preserve">Je určený iba pre </w:t>
            </w:r>
            <w:proofErr w:type="spellStart"/>
            <w:r w:rsidRPr="00057923">
              <w:rPr>
                <w:rFonts w:ascii="Book Antiqua" w:eastAsia="Times New Roman" w:hAnsi="Book Antiqua" w:cs="Arial"/>
                <w:sz w:val="18"/>
                <w:szCs w:val="18"/>
                <w:lang w:eastAsia="sk-SK"/>
              </w:rPr>
              <w:t>rizikárov</w:t>
            </w:r>
            <w:proofErr w:type="spellEnd"/>
            <w:r w:rsidRPr="00057923">
              <w:rPr>
                <w:rFonts w:ascii="Book Antiqua" w:eastAsia="Times New Roman" w:hAnsi="Book Antiqua" w:cs="Arial"/>
                <w:sz w:val="18"/>
                <w:szCs w:val="18"/>
                <w:lang w:eastAsia="sk-SK"/>
              </w:rPr>
              <w:t xml:space="preserve">, za ktorých platil zamestnávateľ príspevky ako za </w:t>
            </w:r>
            <w:proofErr w:type="spellStart"/>
            <w:r w:rsidRPr="00057923">
              <w:rPr>
                <w:rFonts w:ascii="Book Antiqua" w:eastAsia="Times New Roman" w:hAnsi="Book Antiqua" w:cs="Arial"/>
                <w:sz w:val="18"/>
                <w:szCs w:val="18"/>
                <w:lang w:eastAsia="sk-SK"/>
              </w:rPr>
              <w:t>rizikárov</w:t>
            </w:r>
            <w:proofErr w:type="spellEnd"/>
            <w:r w:rsidRPr="00057923">
              <w:rPr>
                <w:rFonts w:ascii="Book Antiqua" w:eastAsia="Times New Roman" w:hAnsi="Book Antiqua" w:cs="Arial"/>
                <w:sz w:val="18"/>
                <w:szCs w:val="18"/>
                <w:lang w:eastAsia="sk-SK"/>
              </w:rPr>
              <w:t xml:space="preserve"> </w:t>
            </w:r>
            <w:r w:rsidRPr="00057923">
              <w:rPr>
                <w:rFonts w:ascii="Book Antiqua" w:eastAsia="Times New Roman" w:hAnsi="Book Antiqua" w:cs="Arial"/>
                <w:b/>
                <w:bCs/>
                <w:sz w:val="18"/>
                <w:szCs w:val="18"/>
                <w:u w:val="single"/>
                <w:lang w:eastAsia="sk-SK"/>
              </w:rPr>
              <w:t>najmenej 10 rokov a účastník dovŕšil 55 rokov veku.</w:t>
            </w:r>
          </w:p>
        </w:tc>
      </w:tr>
      <w:tr w:rsidR="00057923" w:rsidRPr="00057923" w:rsidTr="00A62543">
        <w:trPr>
          <w:trHeight w:val="708"/>
        </w:trPr>
        <w:tc>
          <w:tcPr>
            <w:tcW w:w="1192" w:type="pct"/>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76" w:lineRule="auto"/>
              <w:jc w:val="both"/>
              <w:rPr>
                <w:rFonts w:ascii="Book Antiqua" w:eastAsia="Times New Roman" w:hAnsi="Book Antiqua" w:cs="Arial"/>
                <w:b/>
                <w:bCs/>
                <w:sz w:val="18"/>
                <w:szCs w:val="18"/>
                <w:lang w:eastAsia="sk-SK"/>
              </w:rPr>
            </w:pPr>
            <w:r w:rsidRPr="00057923">
              <w:rPr>
                <w:rFonts w:ascii="Book Antiqua" w:eastAsia="Times New Roman" w:hAnsi="Book Antiqua" w:cs="Arial"/>
                <w:b/>
                <w:bCs/>
                <w:sz w:val="18"/>
                <w:szCs w:val="18"/>
                <w:lang w:eastAsia="sk-SK"/>
              </w:rPr>
              <w:lastRenderedPageBreak/>
              <w:t>jednorazové vyrovnanie</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18"/>
                <w:lang w:eastAsia="sk-SK"/>
              </w:rPr>
            </w:pPr>
            <w:r w:rsidRPr="00057923">
              <w:rPr>
                <w:rFonts w:ascii="Book Antiqua" w:eastAsia="Times New Roman" w:hAnsi="Book Antiqua" w:cs="Arial"/>
                <w:sz w:val="18"/>
                <w:szCs w:val="18"/>
                <w:lang w:eastAsia="sk-SK"/>
              </w:rPr>
              <w:t xml:space="preserve">Je určené </w:t>
            </w:r>
            <w:r w:rsidRPr="00057923">
              <w:rPr>
                <w:rFonts w:ascii="Book Antiqua" w:eastAsia="Times New Roman" w:hAnsi="Book Antiqua" w:cs="Arial"/>
                <w:b/>
                <w:bCs/>
                <w:sz w:val="18"/>
                <w:szCs w:val="18"/>
                <w:u w:val="single"/>
                <w:lang w:eastAsia="sk-SK"/>
              </w:rPr>
              <w:t>pre niektoré špecifické situácie</w:t>
            </w:r>
            <w:r w:rsidRPr="00057923">
              <w:rPr>
                <w:rFonts w:ascii="Book Antiqua" w:eastAsia="Times New Roman" w:hAnsi="Book Antiqua" w:cs="Arial"/>
                <w:sz w:val="18"/>
                <w:szCs w:val="18"/>
                <w:lang w:eastAsia="sk-SK"/>
              </w:rPr>
              <w:t xml:space="preserve"> ako vyplácanie invalidného dôchodku, nízka nasporená suma účastníka v čase dovŕšenia dôchodkového veku (nižšia ako 2-násobok priemernej mzdy)</w:t>
            </w:r>
            <w:r w:rsidRPr="00057923">
              <w:rPr>
                <w:rFonts w:ascii="Book Antiqua" w:eastAsia="Times New Roman" w:hAnsi="Book Antiqua" w:cs="Arial"/>
                <w:sz w:val="18"/>
                <w:szCs w:val="18"/>
                <w:vertAlign w:val="superscript"/>
                <w:lang w:eastAsia="sk-SK"/>
              </w:rPr>
              <w:footnoteReference w:id="33"/>
            </w:r>
            <w:r w:rsidRPr="00057923">
              <w:rPr>
                <w:rFonts w:ascii="Book Antiqua" w:eastAsia="Times New Roman" w:hAnsi="Book Antiqua" w:cs="Arial"/>
                <w:sz w:val="18"/>
                <w:szCs w:val="18"/>
                <w:lang w:eastAsia="sk-SK"/>
              </w:rPr>
              <w:t>, zrušenie príspevkových fondov doplnkovej dôchodkovej spoločnosti</w:t>
            </w:r>
            <w:r w:rsidRPr="00057923">
              <w:rPr>
                <w:rFonts w:ascii="Book Antiqua" w:eastAsia="Times New Roman" w:hAnsi="Book Antiqua" w:cs="Arial"/>
                <w:sz w:val="18"/>
                <w:szCs w:val="18"/>
                <w:vertAlign w:val="superscript"/>
                <w:lang w:eastAsia="sk-SK"/>
              </w:rPr>
              <w:footnoteReference w:id="34"/>
            </w:r>
            <w:r w:rsidRPr="00057923">
              <w:rPr>
                <w:rFonts w:ascii="Book Antiqua" w:eastAsia="Times New Roman" w:hAnsi="Book Antiqua" w:cs="Arial"/>
                <w:sz w:val="18"/>
                <w:szCs w:val="18"/>
                <w:lang w:eastAsia="sk-SK"/>
              </w:rPr>
              <w:t>, resp. zrušenie celej doplnkovej dôchodkovej spoločnosti</w:t>
            </w:r>
            <w:r w:rsidRPr="00057923">
              <w:rPr>
                <w:rFonts w:ascii="Book Antiqua" w:eastAsia="Times New Roman" w:hAnsi="Book Antiqua" w:cs="Arial"/>
                <w:sz w:val="18"/>
                <w:szCs w:val="18"/>
                <w:vertAlign w:val="superscript"/>
                <w:lang w:eastAsia="sk-SK"/>
              </w:rPr>
              <w:footnoteReference w:id="35"/>
            </w:r>
            <w:r w:rsidRPr="00057923">
              <w:rPr>
                <w:rFonts w:ascii="Book Antiqua" w:eastAsia="Times New Roman" w:hAnsi="Book Antiqua" w:cs="Arial"/>
                <w:sz w:val="18"/>
                <w:szCs w:val="18"/>
                <w:lang w:eastAsia="sk-SK"/>
              </w:rPr>
              <w:t>. Časť nasporenej sumy si môže vybrať v podobe jednorazového vyrovnania každý účastník doplnkového dôchodkového sporenia ak požiada aj o vyplácanie dočasného dôchodku, resp. doživotného dôchodku.</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18"/>
                <w:lang w:eastAsia="sk-SK"/>
              </w:rPr>
            </w:pPr>
            <w:r w:rsidRPr="00057923">
              <w:rPr>
                <w:rFonts w:ascii="Book Antiqua" w:eastAsia="Times New Roman" w:hAnsi="Book Antiqua" w:cs="Arial"/>
                <w:sz w:val="18"/>
                <w:szCs w:val="18"/>
                <w:lang w:eastAsia="sk-SK"/>
              </w:rPr>
              <w:t xml:space="preserve">Je určené </w:t>
            </w:r>
            <w:r w:rsidRPr="00057923">
              <w:rPr>
                <w:rFonts w:ascii="Book Antiqua" w:eastAsia="Times New Roman" w:hAnsi="Book Antiqua" w:cs="Arial"/>
                <w:b/>
                <w:bCs/>
                <w:sz w:val="18"/>
                <w:szCs w:val="18"/>
                <w:u w:val="single"/>
                <w:lang w:eastAsia="sk-SK"/>
              </w:rPr>
              <w:t>pre niektoré špecifické situácie</w:t>
            </w:r>
            <w:r w:rsidRPr="00057923">
              <w:rPr>
                <w:rFonts w:ascii="Book Antiqua" w:eastAsia="Times New Roman" w:hAnsi="Book Antiqua" w:cs="Arial"/>
                <w:sz w:val="18"/>
                <w:szCs w:val="18"/>
                <w:lang w:eastAsia="sk-SK"/>
              </w:rPr>
              <w:t xml:space="preserve"> ako vyplácanie invalidného dôchodku, nízka nasporená suma účastníka v čase dovŕšenia dôchodkového veku (nižšia ako 2-násobok priemernej mzdy), zrušenie príspevkových fondov doplnkovej dôchodkovej spoločnosti, resp. zrušenie celej doplnkovej dôchodkovej spoločnosti. Časť nasporenej sumy si môže vybrať v podobe jednorazového vyrovnania každý účastník doplnkového dôchodkového sporenia ak požiada aj o vyplácanie dočasného dôchodku, resp. doživotného dôchodku.</w:t>
            </w:r>
          </w:p>
        </w:tc>
      </w:tr>
      <w:tr w:rsidR="00057923" w:rsidRPr="00057923" w:rsidTr="00A62543">
        <w:trPr>
          <w:trHeight w:val="1733"/>
        </w:trPr>
        <w:tc>
          <w:tcPr>
            <w:tcW w:w="1192" w:type="pct"/>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76" w:lineRule="auto"/>
              <w:jc w:val="both"/>
              <w:rPr>
                <w:rFonts w:ascii="Book Antiqua" w:eastAsia="Times New Roman" w:hAnsi="Book Antiqua" w:cs="Arial"/>
                <w:b/>
                <w:bCs/>
                <w:sz w:val="18"/>
                <w:szCs w:val="18"/>
                <w:lang w:eastAsia="sk-SK"/>
              </w:rPr>
            </w:pPr>
            <w:r w:rsidRPr="00057923">
              <w:rPr>
                <w:rFonts w:ascii="Book Antiqua" w:eastAsia="Times New Roman" w:hAnsi="Book Antiqua" w:cs="Arial"/>
                <w:b/>
                <w:bCs/>
                <w:sz w:val="18"/>
                <w:szCs w:val="18"/>
                <w:lang w:eastAsia="sk-SK"/>
              </w:rPr>
              <w:t>odstupné</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18"/>
                <w:lang w:eastAsia="sk-SK"/>
              </w:rPr>
            </w:pPr>
            <w:r w:rsidRPr="00057923">
              <w:rPr>
                <w:rFonts w:ascii="Book Antiqua" w:eastAsia="Times New Roman" w:hAnsi="Book Antiqua" w:cs="Arial"/>
                <w:sz w:val="18"/>
                <w:szCs w:val="18"/>
                <w:lang w:eastAsia="sk-SK"/>
              </w:rPr>
              <w:t xml:space="preserve">Vyplatí sa účastníkovi v prípade, že nesplnil podmienky vyplácania doplnkového starobného dôchodku alebo doplnkového výsluhového dôchodku. Suma odstupného je </w:t>
            </w:r>
            <w:r w:rsidRPr="00057923">
              <w:rPr>
                <w:rFonts w:ascii="Book Antiqua" w:eastAsia="Times New Roman" w:hAnsi="Book Antiqua" w:cs="Arial"/>
                <w:b/>
                <w:bCs/>
                <w:sz w:val="18"/>
                <w:szCs w:val="18"/>
                <w:u w:val="single"/>
                <w:lang w:eastAsia="sk-SK"/>
              </w:rPr>
              <w:t>minimálne vo výške 80 % aktuálnej hodnoty osobného účtu účastníka</w:t>
            </w:r>
            <w:r w:rsidRPr="00057923">
              <w:rPr>
                <w:rFonts w:ascii="Book Antiqua" w:eastAsia="Times New Roman" w:hAnsi="Book Antiqua" w:cs="Arial"/>
                <w:sz w:val="18"/>
                <w:szCs w:val="18"/>
                <w:lang w:eastAsia="sk-SK"/>
              </w:rPr>
              <w:t xml:space="preserve">. </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b/>
                <w:bCs/>
                <w:sz w:val="18"/>
                <w:szCs w:val="18"/>
                <w:u w:val="single"/>
                <w:lang w:eastAsia="sk-SK"/>
              </w:rPr>
            </w:pPr>
            <w:r w:rsidRPr="00057923">
              <w:rPr>
                <w:rFonts w:ascii="Book Antiqua" w:eastAsia="Times New Roman" w:hAnsi="Book Antiqua" w:cs="Arial"/>
                <w:b/>
                <w:bCs/>
                <w:sz w:val="18"/>
                <w:szCs w:val="18"/>
                <w:u w:val="single"/>
                <w:lang w:eastAsia="sk-SK"/>
              </w:rPr>
              <w:t>nevypláca sa</w:t>
            </w:r>
          </w:p>
        </w:tc>
      </w:tr>
      <w:tr w:rsidR="00057923" w:rsidRPr="00057923" w:rsidTr="00A62543">
        <w:trPr>
          <w:trHeight w:val="1095"/>
        </w:trPr>
        <w:tc>
          <w:tcPr>
            <w:tcW w:w="1192" w:type="pct"/>
            <w:tcBorders>
              <w:top w:val="nil"/>
              <w:left w:val="single" w:sz="4" w:space="0" w:color="auto"/>
              <w:bottom w:val="single" w:sz="4" w:space="0" w:color="auto"/>
              <w:right w:val="single" w:sz="4" w:space="0" w:color="auto"/>
            </w:tcBorders>
            <w:noWrap/>
            <w:vAlign w:val="center"/>
            <w:hideMark/>
          </w:tcPr>
          <w:p w:rsidR="00057923" w:rsidRPr="00057923" w:rsidRDefault="00057923" w:rsidP="00057923">
            <w:pPr>
              <w:spacing w:after="0" w:line="276" w:lineRule="auto"/>
              <w:jc w:val="both"/>
              <w:rPr>
                <w:rFonts w:ascii="Book Antiqua" w:eastAsia="Times New Roman" w:hAnsi="Book Antiqua" w:cs="Arial"/>
                <w:b/>
                <w:bCs/>
                <w:sz w:val="18"/>
                <w:szCs w:val="18"/>
                <w:lang w:eastAsia="sk-SK"/>
              </w:rPr>
            </w:pPr>
            <w:r w:rsidRPr="00057923">
              <w:rPr>
                <w:rFonts w:ascii="Book Antiqua" w:eastAsia="Times New Roman" w:hAnsi="Book Antiqua" w:cs="Arial"/>
                <w:b/>
                <w:bCs/>
                <w:sz w:val="18"/>
                <w:szCs w:val="18"/>
                <w:lang w:eastAsia="sk-SK"/>
              </w:rPr>
              <w:t>predčasný výber</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b/>
                <w:bCs/>
                <w:sz w:val="18"/>
                <w:szCs w:val="18"/>
                <w:u w:val="single"/>
                <w:lang w:eastAsia="sk-SK"/>
              </w:rPr>
            </w:pPr>
            <w:r w:rsidRPr="00057923">
              <w:rPr>
                <w:rFonts w:ascii="Book Antiqua" w:eastAsia="Times New Roman" w:hAnsi="Book Antiqua" w:cs="Arial"/>
                <w:b/>
                <w:bCs/>
                <w:sz w:val="18"/>
                <w:szCs w:val="18"/>
                <w:u w:val="single"/>
                <w:lang w:eastAsia="sk-SK"/>
              </w:rPr>
              <w:t>nevypláca sa</w:t>
            </w:r>
          </w:p>
        </w:tc>
        <w:tc>
          <w:tcPr>
            <w:tcW w:w="1904" w:type="pct"/>
            <w:tcBorders>
              <w:top w:val="nil"/>
              <w:left w:val="nil"/>
              <w:bottom w:val="single" w:sz="4" w:space="0" w:color="auto"/>
              <w:right w:val="single" w:sz="4" w:space="0" w:color="auto"/>
            </w:tcBorders>
            <w:vAlign w:val="center"/>
            <w:hideMark/>
          </w:tcPr>
          <w:p w:rsidR="00057923" w:rsidRPr="00057923" w:rsidRDefault="00057923" w:rsidP="00057923">
            <w:pPr>
              <w:spacing w:after="0" w:line="276" w:lineRule="auto"/>
              <w:jc w:val="center"/>
              <w:rPr>
                <w:rFonts w:ascii="Book Antiqua" w:eastAsia="Times New Roman" w:hAnsi="Book Antiqua" w:cs="Arial"/>
                <w:sz w:val="18"/>
                <w:szCs w:val="18"/>
                <w:lang w:eastAsia="sk-SK"/>
              </w:rPr>
            </w:pPr>
            <w:r w:rsidRPr="00057923">
              <w:rPr>
                <w:rFonts w:ascii="Book Antiqua" w:eastAsia="Times New Roman" w:hAnsi="Book Antiqua" w:cs="Arial"/>
                <w:sz w:val="18"/>
                <w:szCs w:val="18"/>
                <w:lang w:eastAsia="sk-SK"/>
              </w:rPr>
              <w:t xml:space="preserve">Účastníkovi sa môže vyplatiť vždy </w:t>
            </w:r>
            <w:r w:rsidRPr="00057923">
              <w:rPr>
                <w:rFonts w:ascii="Book Antiqua" w:eastAsia="Times New Roman" w:hAnsi="Book Antiqua" w:cs="Arial"/>
                <w:b/>
                <w:bCs/>
                <w:sz w:val="18"/>
                <w:szCs w:val="18"/>
                <w:u w:val="single"/>
                <w:lang w:eastAsia="sk-SK"/>
              </w:rPr>
              <w:t>po desiatich rokoch sporenia vo výške nasporenej sumy tvorenej z jeho vlastných príspevkov.</w:t>
            </w:r>
          </w:p>
        </w:tc>
      </w:tr>
    </w:tbl>
    <w:p w:rsidR="00057923" w:rsidRPr="00057923" w:rsidRDefault="00057923" w:rsidP="00057923">
      <w:pPr>
        <w:spacing w:after="200" w:line="276" w:lineRule="auto"/>
        <w:jc w:val="both"/>
        <w:rPr>
          <w:rFonts w:ascii="Times New Roman" w:eastAsia="Times New Roman" w:hAnsi="Times New Roman" w:cs="Times New Roman"/>
          <w:i/>
          <w:sz w:val="24"/>
          <w:szCs w:val="24"/>
        </w:rPr>
      </w:pPr>
    </w:p>
    <w:p w:rsidR="00057923" w:rsidRPr="00057923" w:rsidRDefault="00057923" w:rsidP="00057923">
      <w:pPr>
        <w:keepNext/>
        <w:spacing w:after="200" w:line="276" w:lineRule="auto"/>
        <w:rPr>
          <w:rFonts w:ascii="Book Antiqua" w:eastAsia="Times New Roman" w:hAnsi="Book Antiqua" w:cs="Times New Roman"/>
          <w:b/>
          <w:bCs/>
          <w:i/>
        </w:rPr>
      </w:pPr>
      <w:r w:rsidRPr="00057923">
        <w:rPr>
          <w:rFonts w:ascii="Book Antiqua" w:eastAsia="Times New Roman" w:hAnsi="Book Antiqua" w:cs="Times New Roman"/>
          <w:b/>
          <w:bCs/>
          <w:i/>
        </w:rPr>
        <w:lastRenderedPageBreak/>
        <w:t xml:space="preserve">Tabuľka 13: </w:t>
      </w:r>
      <w:r w:rsidRPr="00057923">
        <w:rPr>
          <w:rFonts w:ascii="Book Antiqua" w:eastAsia="Times New Roman" w:hAnsi="Book Antiqua" w:cs="Times New Roman"/>
          <w:bCs/>
          <w:i/>
        </w:rPr>
        <w:t>Pracovné kategórie</w:t>
      </w:r>
    </w:p>
    <w:tbl>
      <w:tblPr>
        <w:tblStyle w:val="Mriekatabuky"/>
        <w:tblW w:w="0" w:type="auto"/>
        <w:tblLook w:val="04A0" w:firstRow="1" w:lastRow="0" w:firstColumn="1" w:lastColumn="0" w:noHBand="0" w:noVBand="1"/>
      </w:tblPr>
      <w:tblGrid>
        <w:gridCol w:w="1384"/>
        <w:gridCol w:w="7676"/>
      </w:tblGrid>
      <w:tr w:rsidR="00057923" w:rsidRPr="00057923" w:rsidTr="00A62543">
        <w:trPr>
          <w:trHeight w:val="8328"/>
        </w:trPr>
        <w:tc>
          <w:tcPr>
            <w:tcW w:w="1384" w:type="dxa"/>
          </w:tcPr>
          <w:p w:rsidR="00057923" w:rsidRPr="00057923" w:rsidRDefault="00057923" w:rsidP="00057923">
            <w:pPr>
              <w:numPr>
                <w:ilvl w:val="0"/>
                <w:numId w:val="30"/>
              </w:numPr>
              <w:ind w:left="426" w:hanging="426"/>
              <w:contextualSpacing/>
              <w:jc w:val="both"/>
              <w:rPr>
                <w:rFonts w:ascii="Times New Roman" w:hAnsi="Times New Roman"/>
                <w:b/>
                <w:sz w:val="18"/>
                <w:szCs w:val="18"/>
              </w:rPr>
            </w:pPr>
            <w:r w:rsidRPr="00057923">
              <w:rPr>
                <w:rFonts w:ascii="Times New Roman" w:hAnsi="Times New Roman"/>
                <w:b/>
                <w:sz w:val="18"/>
                <w:szCs w:val="18"/>
              </w:rPr>
              <w:t>Pracovná kategória</w:t>
            </w:r>
          </w:p>
        </w:tc>
        <w:tc>
          <w:tcPr>
            <w:tcW w:w="7828" w:type="dxa"/>
          </w:tcPr>
          <w:p w:rsidR="00057923" w:rsidRPr="00057923" w:rsidRDefault="00057923" w:rsidP="00057923">
            <w:pPr>
              <w:keepNext/>
              <w:rPr>
                <w:rFonts w:ascii="Times New Roman" w:hAnsi="Times New Roman"/>
                <w:sz w:val="18"/>
                <w:szCs w:val="18"/>
              </w:rPr>
            </w:pPr>
            <w:r w:rsidRPr="00057923">
              <w:rPr>
                <w:rFonts w:ascii="Times New Roman" w:hAnsi="Times New Roman"/>
                <w:sz w:val="18"/>
                <w:szCs w:val="18"/>
              </w:rPr>
              <w:t>Do I. pracovnej kategórie sú zaradené zamestnania, v ktorých sa vykonávajú sústavne a v priebehu kalendárneho mesiaca prevažne rizikové práce, pri ktorých dochádza k častým a trvalým poruchám zdravia pracujúcich pôsobením škodlivých fyzikálnych a chemických vplyvov, a to</w:t>
            </w:r>
          </w:p>
          <w:p w:rsidR="00057923" w:rsidRPr="00057923" w:rsidRDefault="00057923" w:rsidP="00057923">
            <w:pPr>
              <w:keepNext/>
              <w:numPr>
                <w:ilvl w:val="0"/>
                <w:numId w:val="31"/>
              </w:numPr>
              <w:contextualSpacing/>
              <w:rPr>
                <w:rFonts w:ascii="Times New Roman" w:hAnsi="Times New Roman"/>
                <w:sz w:val="18"/>
                <w:szCs w:val="18"/>
              </w:rPr>
            </w:pPr>
            <w:r w:rsidRPr="00057923">
              <w:rPr>
                <w:rFonts w:ascii="Times New Roman" w:hAnsi="Times New Roman"/>
                <w:sz w:val="18"/>
                <w:szCs w:val="18"/>
              </w:rPr>
              <w:t>zamestnania v baníctve so stálym pracoviskom pod zemou v hlbinných baniach,</w:t>
            </w:r>
          </w:p>
          <w:p w:rsidR="00057923" w:rsidRPr="00057923" w:rsidRDefault="00057923" w:rsidP="00057923">
            <w:pPr>
              <w:keepNext/>
              <w:numPr>
                <w:ilvl w:val="0"/>
                <w:numId w:val="31"/>
              </w:numPr>
              <w:contextualSpacing/>
              <w:rPr>
                <w:rFonts w:ascii="Times New Roman" w:hAnsi="Times New Roman"/>
                <w:sz w:val="18"/>
                <w:szCs w:val="18"/>
              </w:rPr>
            </w:pPr>
            <w:r w:rsidRPr="00057923">
              <w:rPr>
                <w:rFonts w:ascii="Times New Roman" w:hAnsi="Times New Roman"/>
                <w:sz w:val="18"/>
                <w:szCs w:val="18"/>
              </w:rPr>
              <w:t>ostatné zamestnania v baníctve vykonávané pod zemou v hlbinných baniach</w:t>
            </w:r>
          </w:p>
          <w:p w:rsidR="00057923" w:rsidRPr="00057923" w:rsidRDefault="00057923" w:rsidP="00057923">
            <w:pPr>
              <w:keepNext/>
              <w:numPr>
                <w:ilvl w:val="0"/>
                <w:numId w:val="31"/>
              </w:numPr>
              <w:contextualSpacing/>
              <w:rPr>
                <w:rFonts w:ascii="Times New Roman" w:hAnsi="Times New Roman"/>
                <w:sz w:val="18"/>
                <w:szCs w:val="18"/>
              </w:rPr>
            </w:pPr>
            <w:r w:rsidRPr="00057923">
              <w:rPr>
                <w:rFonts w:ascii="Times New Roman" w:hAnsi="Times New Roman"/>
                <w:sz w:val="18"/>
                <w:szCs w:val="18"/>
              </w:rPr>
              <w:t>zamestnania pod zemou pri uskutočňovaní podzemných stavieb baníckym spôsobom,</w:t>
            </w:r>
          </w:p>
          <w:p w:rsidR="00057923" w:rsidRPr="00057923" w:rsidRDefault="00057923" w:rsidP="00057923">
            <w:pPr>
              <w:keepNext/>
              <w:numPr>
                <w:ilvl w:val="0"/>
                <w:numId w:val="31"/>
              </w:numPr>
              <w:contextualSpacing/>
              <w:rPr>
                <w:rFonts w:ascii="Times New Roman" w:hAnsi="Times New Roman"/>
                <w:sz w:val="18"/>
                <w:szCs w:val="18"/>
              </w:rPr>
            </w:pPr>
            <w:r w:rsidRPr="00057923">
              <w:rPr>
                <w:rFonts w:ascii="Times New Roman" w:hAnsi="Times New Roman"/>
                <w:sz w:val="18"/>
                <w:szCs w:val="18"/>
              </w:rPr>
              <w:t>zamestnania členov leteckých posádok a pracovníkov sústavne činných v lietadle za letu,</w:t>
            </w:r>
          </w:p>
          <w:p w:rsidR="00057923" w:rsidRPr="00057923" w:rsidRDefault="00057923" w:rsidP="00057923">
            <w:pPr>
              <w:keepNext/>
              <w:numPr>
                <w:ilvl w:val="0"/>
                <w:numId w:val="31"/>
              </w:numPr>
              <w:contextualSpacing/>
              <w:rPr>
                <w:rFonts w:ascii="Times New Roman" w:hAnsi="Times New Roman"/>
                <w:sz w:val="18"/>
                <w:szCs w:val="18"/>
              </w:rPr>
            </w:pPr>
            <w:r w:rsidRPr="00057923">
              <w:rPr>
                <w:rFonts w:ascii="Times New Roman" w:hAnsi="Times New Roman"/>
                <w:sz w:val="18"/>
                <w:szCs w:val="18"/>
              </w:rPr>
              <w:t>zamestnania členov posádok námorných lodí,</w:t>
            </w:r>
          </w:p>
          <w:p w:rsidR="00057923" w:rsidRPr="00057923" w:rsidRDefault="00057923" w:rsidP="00057923">
            <w:pPr>
              <w:keepNext/>
              <w:numPr>
                <w:ilvl w:val="0"/>
                <w:numId w:val="31"/>
              </w:numPr>
              <w:contextualSpacing/>
              <w:rPr>
                <w:rFonts w:ascii="Times New Roman" w:hAnsi="Times New Roman"/>
                <w:sz w:val="18"/>
                <w:szCs w:val="18"/>
              </w:rPr>
            </w:pPr>
            <w:r w:rsidRPr="00057923">
              <w:rPr>
                <w:rFonts w:ascii="Times New Roman" w:hAnsi="Times New Roman"/>
                <w:sz w:val="18"/>
                <w:szCs w:val="18"/>
              </w:rPr>
              <w:t>zamestnania, v ktorých sa vykonávajú zvlášť ťažké a zdraviu škodlivé práce v hutách alebo v ťažkých chemických prevádzkach,</w:t>
            </w:r>
          </w:p>
          <w:p w:rsidR="00057923" w:rsidRPr="00057923" w:rsidRDefault="00057923" w:rsidP="00057923">
            <w:pPr>
              <w:keepNext/>
              <w:numPr>
                <w:ilvl w:val="0"/>
                <w:numId w:val="31"/>
              </w:numPr>
              <w:contextualSpacing/>
              <w:rPr>
                <w:rFonts w:ascii="Times New Roman" w:hAnsi="Times New Roman"/>
                <w:sz w:val="18"/>
                <w:szCs w:val="18"/>
              </w:rPr>
            </w:pPr>
            <w:r w:rsidRPr="00057923">
              <w:rPr>
                <w:rFonts w:ascii="Times New Roman" w:hAnsi="Times New Roman"/>
                <w:sz w:val="18"/>
                <w:szCs w:val="18"/>
              </w:rPr>
              <w:t xml:space="preserve">zamestnania </w:t>
            </w:r>
            <w:proofErr w:type="spellStart"/>
            <w:r w:rsidRPr="00057923">
              <w:rPr>
                <w:rFonts w:ascii="Times New Roman" w:hAnsi="Times New Roman"/>
                <w:sz w:val="18"/>
                <w:szCs w:val="18"/>
              </w:rPr>
              <w:t>kesonárov</w:t>
            </w:r>
            <w:proofErr w:type="spellEnd"/>
            <w:r w:rsidRPr="00057923">
              <w:rPr>
                <w:rFonts w:ascii="Times New Roman" w:hAnsi="Times New Roman"/>
                <w:sz w:val="18"/>
                <w:szCs w:val="18"/>
              </w:rPr>
              <w:t xml:space="preserve"> a potápačov,</w:t>
            </w:r>
          </w:p>
          <w:p w:rsidR="00057923" w:rsidRPr="00057923" w:rsidRDefault="00057923" w:rsidP="00057923">
            <w:pPr>
              <w:keepNext/>
              <w:numPr>
                <w:ilvl w:val="0"/>
                <w:numId w:val="31"/>
              </w:numPr>
              <w:contextualSpacing/>
              <w:rPr>
                <w:rFonts w:ascii="Times New Roman" w:hAnsi="Times New Roman"/>
                <w:sz w:val="18"/>
                <w:szCs w:val="18"/>
              </w:rPr>
            </w:pPr>
            <w:r w:rsidRPr="00057923">
              <w:rPr>
                <w:rFonts w:ascii="Times New Roman" w:hAnsi="Times New Roman"/>
                <w:sz w:val="18"/>
                <w:szCs w:val="18"/>
              </w:rPr>
              <w:t>zamestnania vykonávané v prostredí ohrozenom vo významnej miere ionizujúcim žiarením pri úprave a konečnom spracovaní rádioaktívnych surovín, v jadrových elektrárňach a pri obsluhe cyklotrónu a výskumného reaktoru,</w:t>
            </w:r>
          </w:p>
          <w:p w:rsidR="00057923" w:rsidRPr="00057923" w:rsidRDefault="00057923" w:rsidP="00057923">
            <w:pPr>
              <w:keepNext/>
              <w:numPr>
                <w:ilvl w:val="0"/>
                <w:numId w:val="31"/>
              </w:numPr>
              <w:contextualSpacing/>
              <w:rPr>
                <w:rFonts w:ascii="Times New Roman" w:hAnsi="Times New Roman"/>
                <w:sz w:val="18"/>
                <w:szCs w:val="18"/>
              </w:rPr>
            </w:pPr>
            <w:r w:rsidRPr="00057923">
              <w:rPr>
                <w:rFonts w:ascii="Times New Roman" w:hAnsi="Times New Roman"/>
                <w:sz w:val="18"/>
                <w:szCs w:val="18"/>
              </w:rPr>
              <w:t>zamestnanie vykonávané s dokázanými chemickými karcinogénmi a pri pracovných procesoch s rizikom chemickej karcinogenity,</w:t>
            </w:r>
          </w:p>
          <w:p w:rsidR="00057923" w:rsidRPr="00057923" w:rsidRDefault="00057923" w:rsidP="00057923">
            <w:pPr>
              <w:keepNext/>
              <w:numPr>
                <w:ilvl w:val="0"/>
                <w:numId w:val="31"/>
              </w:numPr>
              <w:contextualSpacing/>
              <w:rPr>
                <w:rFonts w:ascii="Times New Roman" w:hAnsi="Times New Roman"/>
                <w:sz w:val="18"/>
                <w:szCs w:val="18"/>
              </w:rPr>
            </w:pPr>
            <w:r w:rsidRPr="00057923">
              <w:rPr>
                <w:rFonts w:ascii="Times New Roman" w:hAnsi="Times New Roman"/>
                <w:sz w:val="18"/>
                <w:szCs w:val="18"/>
              </w:rPr>
              <w:t xml:space="preserve">zamestnanie v baníctve vykonávané pod spodnou úrovňou nadložia a na skrývke v povrchových baniach (lomoch) na uhlie, na rádioaktívne nerasty a na nerasty, z ktorých možno priemyselne vyrábať kovy, na magnezit, azbest, tuhu, kaolín, žiaruvzdorné íly, keramické </w:t>
            </w:r>
            <w:proofErr w:type="spellStart"/>
            <w:r w:rsidRPr="00057923">
              <w:rPr>
                <w:rFonts w:ascii="Times New Roman" w:hAnsi="Times New Roman"/>
                <w:sz w:val="18"/>
                <w:szCs w:val="18"/>
              </w:rPr>
              <w:t>lupky</w:t>
            </w:r>
            <w:proofErr w:type="spellEnd"/>
            <w:r w:rsidRPr="00057923">
              <w:rPr>
                <w:rFonts w:ascii="Times New Roman" w:hAnsi="Times New Roman"/>
                <w:sz w:val="18"/>
                <w:szCs w:val="18"/>
              </w:rPr>
              <w:t>, sadrovec, živec a na kremeň a kremenec na chemickotechnologické spracovanie alebo na spracovanie tavením,</w:t>
            </w:r>
          </w:p>
          <w:p w:rsidR="00057923" w:rsidRPr="00057923" w:rsidRDefault="00057923" w:rsidP="00057923">
            <w:pPr>
              <w:keepNext/>
              <w:numPr>
                <w:ilvl w:val="0"/>
                <w:numId w:val="31"/>
              </w:numPr>
              <w:contextualSpacing/>
              <w:rPr>
                <w:rFonts w:ascii="Times New Roman" w:hAnsi="Times New Roman"/>
                <w:sz w:val="18"/>
                <w:szCs w:val="18"/>
              </w:rPr>
            </w:pPr>
            <w:r w:rsidRPr="00057923">
              <w:rPr>
                <w:rFonts w:ascii="Times New Roman" w:hAnsi="Times New Roman"/>
                <w:sz w:val="18"/>
                <w:szCs w:val="18"/>
              </w:rPr>
              <w:t>zamestnania v ťažbe a pri opracovaní kameňa, pri mletí a drvení kremeňa, kremenca a živca, pri formovaní žiaruvzdorných výrobkov a pri úprave keramických surovín vykonávané v prostredí vysokej koncentrácie agresívneho fibroplastického prachu, pokiaľ sú pracujúci pri výkone týchto zamestnaní nadmerne ohrození silikózou, a zamestnania sklárov dutého skla,</w:t>
            </w:r>
          </w:p>
          <w:p w:rsidR="00057923" w:rsidRPr="00057923" w:rsidRDefault="00057923" w:rsidP="00057923">
            <w:pPr>
              <w:keepNext/>
              <w:numPr>
                <w:ilvl w:val="0"/>
                <w:numId w:val="31"/>
              </w:numPr>
              <w:contextualSpacing/>
              <w:rPr>
                <w:rFonts w:ascii="Times New Roman" w:hAnsi="Times New Roman"/>
                <w:sz w:val="18"/>
                <w:szCs w:val="18"/>
              </w:rPr>
            </w:pPr>
            <w:r w:rsidRPr="00057923">
              <w:rPr>
                <w:rFonts w:ascii="Times New Roman" w:hAnsi="Times New Roman"/>
                <w:sz w:val="18"/>
                <w:szCs w:val="18"/>
              </w:rPr>
              <w:t>zamestnania v stokovej sieti v podzemných priestoroch.</w:t>
            </w:r>
          </w:p>
          <w:p w:rsidR="00057923" w:rsidRPr="00057923" w:rsidRDefault="00057923" w:rsidP="00057923">
            <w:pPr>
              <w:keepNext/>
              <w:ind w:left="720"/>
              <w:contextualSpacing/>
              <w:rPr>
                <w:rFonts w:ascii="Times New Roman" w:hAnsi="Times New Roman"/>
                <w:sz w:val="18"/>
                <w:szCs w:val="18"/>
              </w:rPr>
            </w:pPr>
          </w:p>
          <w:p w:rsidR="00057923" w:rsidRPr="00057923" w:rsidRDefault="00057923" w:rsidP="00057923">
            <w:pPr>
              <w:keepNext/>
              <w:rPr>
                <w:rFonts w:ascii="Times New Roman" w:hAnsi="Times New Roman"/>
                <w:sz w:val="18"/>
                <w:szCs w:val="18"/>
              </w:rPr>
            </w:pPr>
            <w:r w:rsidRPr="00057923">
              <w:rPr>
                <w:rFonts w:ascii="Times New Roman" w:hAnsi="Times New Roman"/>
                <w:sz w:val="18"/>
                <w:szCs w:val="18"/>
              </w:rPr>
              <w:t>Ako zamestnanie zaradené do I. (II.) pracovnej kategórie sa za dobu pred 1. januárom 2000 hodnotí služba vojakov z povolania zaradená do I. (II.) kategórie funkcií, ak nevznikol nárok na dôchodok podľa piatej časti tohto zákona. Služba zaradená do I. kategórie funkcií sa v týchto prípadoch hodnotí ako zamestnanie I. pracovnej kategórie uvedené v § 14 ods. 2 písm. b) až h).</w:t>
            </w:r>
          </w:p>
          <w:p w:rsidR="00057923" w:rsidRPr="00057923" w:rsidRDefault="00057923" w:rsidP="00057923">
            <w:pPr>
              <w:keepNext/>
              <w:rPr>
                <w:rFonts w:ascii="Times New Roman" w:hAnsi="Times New Roman"/>
                <w:sz w:val="18"/>
                <w:szCs w:val="18"/>
              </w:rPr>
            </w:pPr>
          </w:p>
          <w:p w:rsidR="00057923" w:rsidRPr="00057923" w:rsidRDefault="00057923" w:rsidP="00057923">
            <w:pPr>
              <w:keepNext/>
              <w:rPr>
                <w:rFonts w:ascii="Times New Roman" w:hAnsi="Times New Roman"/>
                <w:sz w:val="18"/>
                <w:szCs w:val="18"/>
              </w:rPr>
            </w:pPr>
            <w:r w:rsidRPr="00057923">
              <w:rPr>
                <w:rFonts w:ascii="Times New Roman" w:hAnsi="Times New Roman"/>
                <w:sz w:val="18"/>
                <w:szCs w:val="18"/>
              </w:rPr>
              <w:t>Ako doba zamestnania I. (II.) pracovnej kategórie sa za dobu pred 1. januárom 2000 započítava doba výkonu práce podľa opisu pracovnej činnosti uvedeného v príslušnom rezortnom zozname a ďalšie doby za podmienok a v rozsahu ustanovených v predpisoch platných pred 1. júnom 1992; organizácie na tieto účely vedú príslušnú evidenciu. Pre zápočet náhradných dôb a dôb uvedených v § 5 ods. 1 a v § 6 ods. 1 nariadenia vlády Československej socialistickej republiky č. 117/1988 Zb. o zaraďovaní zamestnaní do I. a II. pracovnej kategórie na účely dôchodkového zabezpečenia ako dôb zamestnania I. a II. pracovnej kategórie do 31. decembra 1999 sa nevyžaduje návrat do zamestnania I. a II. pracovnej kategórie, pokiaľ tieto doby k 31. decembru 1999 trvajú.</w:t>
            </w:r>
          </w:p>
        </w:tc>
      </w:tr>
      <w:tr w:rsidR="00057923" w:rsidRPr="00057923" w:rsidTr="00A62543">
        <w:trPr>
          <w:trHeight w:val="1842"/>
        </w:trPr>
        <w:tc>
          <w:tcPr>
            <w:tcW w:w="1384" w:type="dxa"/>
          </w:tcPr>
          <w:p w:rsidR="00057923" w:rsidRPr="00057923" w:rsidRDefault="00057923" w:rsidP="00057923">
            <w:pPr>
              <w:numPr>
                <w:ilvl w:val="0"/>
                <w:numId w:val="30"/>
              </w:numPr>
              <w:ind w:left="426" w:hanging="426"/>
              <w:contextualSpacing/>
              <w:jc w:val="both"/>
              <w:rPr>
                <w:rFonts w:ascii="Times New Roman" w:hAnsi="Times New Roman"/>
                <w:b/>
                <w:sz w:val="18"/>
                <w:szCs w:val="18"/>
              </w:rPr>
            </w:pPr>
            <w:r w:rsidRPr="00057923">
              <w:rPr>
                <w:rFonts w:ascii="Times New Roman" w:hAnsi="Times New Roman"/>
                <w:b/>
                <w:sz w:val="18"/>
                <w:szCs w:val="18"/>
              </w:rPr>
              <w:t>Pracovná kategória</w:t>
            </w:r>
          </w:p>
        </w:tc>
        <w:tc>
          <w:tcPr>
            <w:tcW w:w="7828" w:type="dxa"/>
          </w:tcPr>
          <w:p w:rsidR="00057923" w:rsidRPr="00057923" w:rsidRDefault="00057923" w:rsidP="00057923">
            <w:pPr>
              <w:keepNext/>
              <w:rPr>
                <w:rFonts w:ascii="Times New Roman" w:hAnsi="Times New Roman"/>
                <w:sz w:val="18"/>
                <w:szCs w:val="18"/>
              </w:rPr>
            </w:pPr>
            <w:r w:rsidRPr="00057923">
              <w:rPr>
                <w:rFonts w:ascii="Times New Roman" w:hAnsi="Times New Roman"/>
                <w:sz w:val="18"/>
                <w:szCs w:val="18"/>
              </w:rPr>
              <w:t>Do II. pracovnej kategórie sú zaradené zamestnania, v ktorých sa vykonávajú sústavne a v priebehu kalendárneho mesiaca prevažne práce, pri ktorých sú pracujúci</w:t>
            </w:r>
          </w:p>
          <w:p w:rsidR="00057923" w:rsidRPr="00057923" w:rsidRDefault="00057923" w:rsidP="00057923">
            <w:pPr>
              <w:keepNext/>
              <w:numPr>
                <w:ilvl w:val="0"/>
                <w:numId w:val="32"/>
              </w:numPr>
              <w:contextualSpacing/>
              <w:rPr>
                <w:rFonts w:ascii="Times New Roman" w:hAnsi="Times New Roman"/>
                <w:sz w:val="18"/>
                <w:szCs w:val="18"/>
              </w:rPr>
            </w:pPr>
            <w:r w:rsidRPr="00057923">
              <w:rPr>
                <w:rFonts w:ascii="Times New Roman" w:hAnsi="Times New Roman"/>
                <w:sz w:val="18"/>
                <w:szCs w:val="18"/>
              </w:rPr>
              <w:t>veľmi významne obťažovaní látkami, prostredím alebo pracovnými postupmi, takže po dlhoročnom výkone týchto prác vznikajú trvalé škody na ich zdraví,</w:t>
            </w:r>
          </w:p>
          <w:p w:rsidR="00057923" w:rsidRPr="00057923" w:rsidRDefault="00057923" w:rsidP="00057923">
            <w:pPr>
              <w:keepNext/>
              <w:numPr>
                <w:ilvl w:val="0"/>
                <w:numId w:val="32"/>
              </w:numPr>
              <w:contextualSpacing/>
              <w:rPr>
                <w:rFonts w:ascii="Times New Roman" w:hAnsi="Times New Roman"/>
                <w:sz w:val="18"/>
                <w:szCs w:val="18"/>
              </w:rPr>
            </w:pPr>
            <w:r w:rsidRPr="00057923">
              <w:rPr>
                <w:rFonts w:ascii="Times New Roman" w:hAnsi="Times New Roman"/>
                <w:sz w:val="18"/>
                <w:szCs w:val="18"/>
              </w:rPr>
              <w:t>obťažovaní látkami, prostredím alebo pracovnými postupmi, i keď k trvalým škodám na ich zdraví dochádza iba výnimočne, ak sa tieto práce vyznačujú trvalou a nadmernou namáhavosťou alebo trvalým a nadmerným</w:t>
            </w:r>
          </w:p>
          <w:p w:rsidR="00057923" w:rsidRPr="00057923" w:rsidRDefault="00057923" w:rsidP="00057923">
            <w:pPr>
              <w:keepNext/>
              <w:numPr>
                <w:ilvl w:val="0"/>
                <w:numId w:val="32"/>
              </w:numPr>
              <w:contextualSpacing/>
              <w:rPr>
                <w:rFonts w:ascii="Times New Roman" w:hAnsi="Times New Roman"/>
                <w:sz w:val="18"/>
                <w:szCs w:val="18"/>
              </w:rPr>
            </w:pPr>
            <w:r w:rsidRPr="00057923">
              <w:rPr>
                <w:rFonts w:ascii="Times New Roman" w:hAnsi="Times New Roman"/>
                <w:sz w:val="18"/>
                <w:szCs w:val="18"/>
              </w:rPr>
              <w:t>poverení činnosťou v zahraničí obťažovaní nepriaznivými pracovnými a životnými podmienkami v tropických alebo inak zdravotne ťažkých oblastiach.</w:t>
            </w:r>
          </w:p>
        </w:tc>
      </w:tr>
      <w:tr w:rsidR="00057923" w:rsidRPr="00057923" w:rsidTr="00A62543">
        <w:trPr>
          <w:trHeight w:val="252"/>
        </w:trPr>
        <w:tc>
          <w:tcPr>
            <w:tcW w:w="1384" w:type="dxa"/>
          </w:tcPr>
          <w:p w:rsidR="00057923" w:rsidRPr="00057923" w:rsidRDefault="00057923" w:rsidP="00057923">
            <w:pPr>
              <w:numPr>
                <w:ilvl w:val="0"/>
                <w:numId w:val="30"/>
              </w:numPr>
              <w:ind w:left="426" w:hanging="426"/>
              <w:contextualSpacing/>
              <w:jc w:val="both"/>
              <w:rPr>
                <w:rFonts w:ascii="Times New Roman" w:hAnsi="Times New Roman"/>
                <w:b/>
                <w:sz w:val="18"/>
                <w:szCs w:val="18"/>
              </w:rPr>
            </w:pPr>
            <w:r w:rsidRPr="00057923">
              <w:rPr>
                <w:rFonts w:ascii="Times New Roman" w:hAnsi="Times New Roman"/>
                <w:b/>
                <w:sz w:val="18"/>
                <w:szCs w:val="18"/>
              </w:rPr>
              <w:t>Pracovná kategória</w:t>
            </w:r>
          </w:p>
        </w:tc>
        <w:tc>
          <w:tcPr>
            <w:tcW w:w="7828" w:type="dxa"/>
          </w:tcPr>
          <w:p w:rsidR="00057923" w:rsidRPr="00057923" w:rsidRDefault="00057923" w:rsidP="00057923">
            <w:pPr>
              <w:rPr>
                <w:rFonts w:ascii="Times New Roman" w:hAnsi="Times New Roman"/>
                <w:sz w:val="18"/>
                <w:szCs w:val="18"/>
              </w:rPr>
            </w:pPr>
            <w:r w:rsidRPr="00057923">
              <w:rPr>
                <w:rFonts w:ascii="Times New Roman" w:hAnsi="Times New Roman"/>
                <w:sz w:val="18"/>
                <w:szCs w:val="18"/>
              </w:rPr>
              <w:t>do III. pracovnej kategórie patria zamestnania, ktoré nie sú zaradené do I. alebo II. pracovnej kategórie</w:t>
            </w:r>
          </w:p>
        </w:tc>
      </w:tr>
    </w:tbl>
    <w:p w:rsidR="00057923" w:rsidRPr="00057923" w:rsidRDefault="00057923" w:rsidP="00057923">
      <w:pPr>
        <w:spacing w:after="200" w:line="276" w:lineRule="auto"/>
        <w:jc w:val="both"/>
        <w:rPr>
          <w:rFonts w:ascii="Times New Roman" w:eastAsia="Times New Roman" w:hAnsi="Times New Roman" w:cs="Times New Roman"/>
          <w:i/>
          <w:sz w:val="24"/>
          <w:szCs w:val="24"/>
        </w:rPr>
      </w:pPr>
    </w:p>
    <w:p w:rsidR="00057923" w:rsidRPr="00057923" w:rsidRDefault="00057923" w:rsidP="00057923">
      <w:pPr>
        <w:keepNext/>
        <w:spacing w:after="200" w:line="276" w:lineRule="auto"/>
        <w:rPr>
          <w:rFonts w:ascii="Book Antiqua" w:eastAsia="Times New Roman" w:hAnsi="Book Antiqua" w:cs="Times New Roman"/>
          <w:b/>
          <w:bCs/>
          <w:i/>
        </w:rPr>
      </w:pPr>
      <w:r w:rsidRPr="00057923">
        <w:rPr>
          <w:rFonts w:ascii="Book Antiqua" w:eastAsia="Times New Roman" w:hAnsi="Book Antiqua" w:cs="Times New Roman"/>
          <w:b/>
          <w:bCs/>
          <w:i/>
        </w:rPr>
        <w:lastRenderedPageBreak/>
        <w:t xml:space="preserve">Tabuľka 14: </w:t>
      </w:r>
      <w:r w:rsidRPr="00057923">
        <w:rPr>
          <w:rFonts w:ascii="Book Antiqua" w:eastAsia="Times New Roman" w:hAnsi="Book Antiqua" w:cs="Times New Roman"/>
          <w:bCs/>
          <w:i/>
        </w:rPr>
        <w:t>Kategórie rizikových prác</w:t>
      </w:r>
    </w:p>
    <w:tbl>
      <w:tblPr>
        <w:tblW w:w="0" w:type="auto"/>
        <w:tblLook w:val="04A0" w:firstRow="1" w:lastRow="0" w:firstColumn="1" w:lastColumn="0" w:noHBand="0" w:noVBand="1"/>
      </w:tblPr>
      <w:tblGrid>
        <w:gridCol w:w="1375"/>
        <w:gridCol w:w="7685"/>
      </w:tblGrid>
      <w:tr w:rsidR="00057923" w:rsidRPr="00057923" w:rsidTr="00A62543">
        <w:tc>
          <w:tcPr>
            <w:tcW w:w="1384" w:type="dxa"/>
            <w:tcBorders>
              <w:top w:val="single" w:sz="4" w:space="0" w:color="auto"/>
              <w:left w:val="single" w:sz="4" w:space="0" w:color="auto"/>
              <w:bottom w:val="single" w:sz="4" w:space="0" w:color="auto"/>
              <w:right w:val="single" w:sz="4" w:space="0" w:color="auto"/>
            </w:tcBorders>
            <w:vAlign w:val="center"/>
          </w:tcPr>
          <w:p w:rsidR="00057923" w:rsidRPr="00057923" w:rsidRDefault="00057923" w:rsidP="00057923">
            <w:pPr>
              <w:keepNext/>
              <w:spacing w:after="200" w:line="276" w:lineRule="auto"/>
              <w:jc w:val="both"/>
              <w:rPr>
                <w:rFonts w:ascii="Times New Roman" w:eastAsia="Times New Roman" w:hAnsi="Times New Roman" w:cs="Times New Roman"/>
                <w:b/>
                <w:sz w:val="18"/>
                <w:szCs w:val="18"/>
              </w:rPr>
            </w:pPr>
            <w:r w:rsidRPr="00057923">
              <w:rPr>
                <w:rFonts w:ascii="Times New Roman" w:eastAsia="Times New Roman" w:hAnsi="Times New Roman" w:cs="Times New Roman"/>
                <w:b/>
                <w:sz w:val="18"/>
                <w:szCs w:val="18"/>
              </w:rPr>
              <w:t>Kategória 1</w:t>
            </w:r>
          </w:p>
          <w:p w:rsidR="00057923" w:rsidRPr="00057923" w:rsidRDefault="00057923" w:rsidP="00057923">
            <w:pPr>
              <w:keepNext/>
              <w:spacing w:after="200" w:line="276" w:lineRule="auto"/>
              <w:jc w:val="both"/>
              <w:rPr>
                <w:rFonts w:ascii="Times New Roman" w:eastAsia="Times New Roman" w:hAnsi="Times New Roman" w:cs="Times New Roman"/>
                <w:sz w:val="18"/>
                <w:szCs w:val="18"/>
              </w:rPr>
            </w:pPr>
          </w:p>
        </w:tc>
        <w:tc>
          <w:tcPr>
            <w:tcW w:w="7828" w:type="dxa"/>
            <w:tcBorders>
              <w:top w:val="single" w:sz="4" w:space="0" w:color="auto"/>
              <w:left w:val="single" w:sz="4" w:space="0" w:color="auto"/>
              <w:bottom w:val="single" w:sz="4" w:space="0" w:color="auto"/>
              <w:right w:val="single" w:sz="4" w:space="0" w:color="auto"/>
            </w:tcBorders>
            <w:hideMark/>
          </w:tcPr>
          <w:p w:rsidR="00057923" w:rsidRPr="00057923" w:rsidRDefault="00057923" w:rsidP="00057923">
            <w:pPr>
              <w:keepNext/>
              <w:spacing w:after="200" w:line="276" w:lineRule="auto"/>
              <w:jc w:val="both"/>
              <w:rPr>
                <w:rFonts w:ascii="Times New Roman" w:eastAsia="Times New Roman" w:hAnsi="Times New Roman" w:cs="Times New Roman"/>
                <w:sz w:val="18"/>
                <w:szCs w:val="18"/>
              </w:rPr>
            </w:pPr>
            <w:r w:rsidRPr="00057923">
              <w:rPr>
                <w:rFonts w:ascii="Times New Roman" w:eastAsia="Times New Roman" w:hAnsi="Times New Roman" w:cs="Times New Roman"/>
                <w:sz w:val="18"/>
                <w:szCs w:val="18"/>
              </w:rPr>
              <w:t>práce, pri ktorých nie je riziko poškodenia zdravia vplyvom práce a pracovného prostredia</w:t>
            </w:r>
          </w:p>
        </w:tc>
      </w:tr>
      <w:tr w:rsidR="00057923" w:rsidRPr="00057923" w:rsidTr="00A62543">
        <w:tc>
          <w:tcPr>
            <w:tcW w:w="1384" w:type="dxa"/>
            <w:tcBorders>
              <w:top w:val="single" w:sz="4" w:space="0" w:color="auto"/>
              <w:left w:val="single" w:sz="4" w:space="0" w:color="auto"/>
              <w:bottom w:val="single" w:sz="4" w:space="0" w:color="auto"/>
              <w:right w:val="single" w:sz="4" w:space="0" w:color="auto"/>
            </w:tcBorders>
            <w:vAlign w:val="center"/>
            <w:hideMark/>
          </w:tcPr>
          <w:p w:rsidR="00057923" w:rsidRPr="00057923" w:rsidRDefault="00057923" w:rsidP="00057923">
            <w:pPr>
              <w:keepNext/>
              <w:spacing w:after="200" w:line="276" w:lineRule="auto"/>
              <w:jc w:val="both"/>
              <w:rPr>
                <w:rFonts w:ascii="Times New Roman" w:eastAsia="Times New Roman" w:hAnsi="Times New Roman" w:cs="Times New Roman"/>
                <w:b/>
                <w:sz w:val="18"/>
                <w:szCs w:val="18"/>
              </w:rPr>
            </w:pPr>
            <w:r w:rsidRPr="00057923">
              <w:rPr>
                <w:rFonts w:ascii="Times New Roman" w:eastAsia="Times New Roman" w:hAnsi="Times New Roman" w:cs="Times New Roman"/>
                <w:b/>
                <w:sz w:val="18"/>
                <w:szCs w:val="18"/>
              </w:rPr>
              <w:t>Kategória 2</w:t>
            </w:r>
          </w:p>
        </w:tc>
        <w:tc>
          <w:tcPr>
            <w:tcW w:w="7828" w:type="dxa"/>
            <w:tcBorders>
              <w:top w:val="single" w:sz="4" w:space="0" w:color="auto"/>
              <w:left w:val="single" w:sz="4" w:space="0" w:color="auto"/>
              <w:bottom w:val="single" w:sz="4" w:space="0" w:color="auto"/>
              <w:right w:val="single" w:sz="4" w:space="0" w:color="auto"/>
            </w:tcBorders>
            <w:hideMark/>
          </w:tcPr>
          <w:p w:rsidR="00057923" w:rsidRPr="00057923" w:rsidRDefault="00057923" w:rsidP="00057923">
            <w:pPr>
              <w:keepNext/>
              <w:spacing w:after="200" w:line="276" w:lineRule="auto"/>
              <w:jc w:val="both"/>
              <w:rPr>
                <w:rFonts w:ascii="Times New Roman" w:eastAsia="Times New Roman" w:hAnsi="Times New Roman" w:cs="Times New Roman"/>
                <w:sz w:val="18"/>
                <w:szCs w:val="18"/>
              </w:rPr>
            </w:pPr>
            <w:r w:rsidRPr="00057923">
              <w:rPr>
                <w:rFonts w:ascii="Times New Roman" w:eastAsia="Times New Roman" w:hAnsi="Times New Roman" w:cs="Times New Roman"/>
                <w:sz w:val="18"/>
                <w:szCs w:val="18"/>
              </w:rPr>
              <w:t>miera zdravotného rizika, pri ktorej nie je predpoklad poškodenia zdravia, ale nedá sa vylúčiť nepriaznivá odpoveď organizmu na záťaž faktormi práce a pracovného prostredia</w:t>
            </w:r>
          </w:p>
        </w:tc>
      </w:tr>
      <w:tr w:rsidR="00057923" w:rsidRPr="00057923" w:rsidTr="00A62543">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057923" w:rsidRPr="00057923" w:rsidRDefault="00057923" w:rsidP="00057923">
            <w:pPr>
              <w:keepNext/>
              <w:spacing w:after="200" w:line="276" w:lineRule="auto"/>
              <w:jc w:val="both"/>
              <w:rPr>
                <w:rFonts w:ascii="Times New Roman" w:eastAsia="Times New Roman" w:hAnsi="Times New Roman" w:cs="Times New Roman"/>
                <w:b/>
                <w:sz w:val="18"/>
                <w:szCs w:val="18"/>
              </w:rPr>
            </w:pPr>
            <w:r w:rsidRPr="00057923">
              <w:rPr>
                <w:rFonts w:ascii="Times New Roman" w:eastAsia="Times New Roman" w:hAnsi="Times New Roman" w:cs="Times New Roman"/>
                <w:b/>
                <w:sz w:val="18"/>
                <w:szCs w:val="18"/>
              </w:rPr>
              <w:t>Kategória 3</w:t>
            </w:r>
          </w:p>
        </w:tc>
        <w:tc>
          <w:tcPr>
            <w:tcW w:w="7828" w:type="dxa"/>
            <w:tcBorders>
              <w:top w:val="single" w:sz="4" w:space="0" w:color="auto"/>
              <w:left w:val="single" w:sz="4" w:space="0" w:color="auto"/>
              <w:bottom w:val="single" w:sz="4" w:space="0" w:color="auto"/>
              <w:right w:val="single" w:sz="4" w:space="0" w:color="auto"/>
            </w:tcBorders>
            <w:hideMark/>
          </w:tcPr>
          <w:p w:rsidR="00057923" w:rsidRPr="00057923" w:rsidRDefault="00057923" w:rsidP="00057923">
            <w:pPr>
              <w:keepNext/>
              <w:spacing w:after="200" w:line="276" w:lineRule="auto"/>
              <w:jc w:val="both"/>
              <w:rPr>
                <w:rFonts w:ascii="Times New Roman" w:eastAsia="Times New Roman" w:hAnsi="Times New Roman" w:cs="Times New Roman"/>
                <w:sz w:val="18"/>
                <w:szCs w:val="18"/>
              </w:rPr>
            </w:pPr>
            <w:r w:rsidRPr="00057923">
              <w:rPr>
                <w:rFonts w:ascii="Times New Roman" w:eastAsia="Times New Roman" w:hAnsi="Times New Roman" w:cs="Times New Roman"/>
                <w:sz w:val="18"/>
                <w:szCs w:val="18"/>
              </w:rPr>
              <w:t>práce, pri ktorých nie je expozícia zamestnanca faktorom práce a pracovného prostredia znížená technickými opatreniami na úroveň ustanoveného limitu a na zníženie rizika je potrebné vykonať organizačné opatrenia a iné špecifické ochranné opatrenia vrátane použitia osobných ochranných pracovných prostriedkov</w:t>
            </w:r>
          </w:p>
        </w:tc>
      </w:tr>
      <w:tr w:rsidR="00057923" w:rsidRPr="00057923" w:rsidTr="00A62543">
        <w:tc>
          <w:tcPr>
            <w:tcW w:w="0" w:type="auto"/>
            <w:vMerge/>
            <w:tcBorders>
              <w:top w:val="single" w:sz="4" w:space="0" w:color="auto"/>
              <w:left w:val="single" w:sz="4" w:space="0" w:color="auto"/>
              <w:bottom w:val="single" w:sz="4" w:space="0" w:color="auto"/>
              <w:right w:val="single" w:sz="4" w:space="0" w:color="auto"/>
            </w:tcBorders>
            <w:vAlign w:val="center"/>
            <w:hideMark/>
          </w:tcPr>
          <w:p w:rsidR="00057923" w:rsidRPr="00057923" w:rsidRDefault="00057923" w:rsidP="00057923">
            <w:pPr>
              <w:keepNext/>
              <w:spacing w:after="200" w:line="276" w:lineRule="auto"/>
              <w:jc w:val="both"/>
              <w:rPr>
                <w:rFonts w:ascii="Times New Roman" w:eastAsia="Times New Roman" w:hAnsi="Times New Roman" w:cs="Times New Roman"/>
                <w:b/>
                <w:sz w:val="18"/>
                <w:szCs w:val="18"/>
              </w:rPr>
            </w:pPr>
          </w:p>
        </w:tc>
        <w:tc>
          <w:tcPr>
            <w:tcW w:w="7828" w:type="dxa"/>
            <w:tcBorders>
              <w:top w:val="single" w:sz="4" w:space="0" w:color="auto"/>
              <w:left w:val="single" w:sz="4" w:space="0" w:color="auto"/>
              <w:bottom w:val="single" w:sz="4" w:space="0" w:color="auto"/>
              <w:right w:val="single" w:sz="4" w:space="0" w:color="auto"/>
            </w:tcBorders>
            <w:hideMark/>
          </w:tcPr>
          <w:p w:rsidR="00057923" w:rsidRPr="00057923" w:rsidRDefault="00057923" w:rsidP="00057923">
            <w:pPr>
              <w:keepNext/>
              <w:spacing w:after="200" w:line="276" w:lineRule="auto"/>
              <w:jc w:val="both"/>
              <w:rPr>
                <w:rFonts w:ascii="Times New Roman" w:eastAsia="Times New Roman" w:hAnsi="Times New Roman" w:cs="Times New Roman"/>
                <w:sz w:val="18"/>
                <w:szCs w:val="18"/>
              </w:rPr>
            </w:pPr>
            <w:r w:rsidRPr="00057923">
              <w:rPr>
                <w:rFonts w:ascii="Times New Roman" w:eastAsia="Times New Roman" w:hAnsi="Times New Roman" w:cs="Times New Roman"/>
                <w:sz w:val="18"/>
                <w:szCs w:val="18"/>
              </w:rPr>
              <w:t>práce, pri ktorých je expozícia zamestnanca faktorom práce a pracovného prostredia znížená technickými opatreniami na úroveň ustanoveného limitu, ale vzájomná kombinácia a pôsobenie faktorov práce a pracovného prostredia môžu poškodiť zdravie</w:t>
            </w:r>
          </w:p>
        </w:tc>
      </w:tr>
      <w:tr w:rsidR="00057923" w:rsidRPr="00057923" w:rsidTr="00A62543">
        <w:tc>
          <w:tcPr>
            <w:tcW w:w="0" w:type="auto"/>
            <w:vMerge/>
            <w:tcBorders>
              <w:top w:val="single" w:sz="4" w:space="0" w:color="auto"/>
              <w:left w:val="single" w:sz="4" w:space="0" w:color="auto"/>
              <w:bottom w:val="single" w:sz="4" w:space="0" w:color="auto"/>
              <w:right w:val="single" w:sz="4" w:space="0" w:color="auto"/>
            </w:tcBorders>
            <w:vAlign w:val="center"/>
            <w:hideMark/>
          </w:tcPr>
          <w:p w:rsidR="00057923" w:rsidRPr="00057923" w:rsidRDefault="00057923" w:rsidP="00057923">
            <w:pPr>
              <w:keepNext/>
              <w:spacing w:after="200" w:line="276" w:lineRule="auto"/>
              <w:jc w:val="both"/>
              <w:rPr>
                <w:rFonts w:ascii="Times New Roman" w:eastAsia="Times New Roman" w:hAnsi="Times New Roman" w:cs="Times New Roman"/>
                <w:b/>
                <w:sz w:val="18"/>
                <w:szCs w:val="18"/>
              </w:rPr>
            </w:pPr>
          </w:p>
        </w:tc>
        <w:tc>
          <w:tcPr>
            <w:tcW w:w="7828" w:type="dxa"/>
            <w:tcBorders>
              <w:top w:val="single" w:sz="4" w:space="0" w:color="auto"/>
              <w:left w:val="single" w:sz="4" w:space="0" w:color="auto"/>
              <w:bottom w:val="single" w:sz="4" w:space="0" w:color="auto"/>
              <w:right w:val="single" w:sz="4" w:space="0" w:color="auto"/>
            </w:tcBorders>
            <w:hideMark/>
          </w:tcPr>
          <w:p w:rsidR="00057923" w:rsidRPr="00057923" w:rsidRDefault="00057923" w:rsidP="00057923">
            <w:pPr>
              <w:keepNext/>
              <w:spacing w:after="200" w:line="276" w:lineRule="auto"/>
              <w:jc w:val="both"/>
              <w:rPr>
                <w:rFonts w:ascii="Times New Roman" w:eastAsia="Times New Roman" w:hAnsi="Times New Roman" w:cs="Times New Roman"/>
                <w:sz w:val="18"/>
                <w:szCs w:val="18"/>
              </w:rPr>
            </w:pPr>
            <w:r w:rsidRPr="00057923">
              <w:rPr>
                <w:rFonts w:ascii="Times New Roman" w:eastAsia="Times New Roman" w:hAnsi="Times New Roman" w:cs="Times New Roman"/>
                <w:sz w:val="18"/>
                <w:szCs w:val="18"/>
              </w:rPr>
              <w:t>práce, pri ktorých nie sú ustanovené limity, ale expozícia faktorom práce a pracovného prostredia môže u zamestnanca spôsobiť poškodenie zdravia</w:t>
            </w:r>
          </w:p>
        </w:tc>
      </w:tr>
      <w:tr w:rsidR="00057923" w:rsidRPr="00057923" w:rsidTr="00A62543">
        <w:tc>
          <w:tcPr>
            <w:tcW w:w="0" w:type="auto"/>
            <w:vMerge/>
            <w:tcBorders>
              <w:top w:val="single" w:sz="4" w:space="0" w:color="auto"/>
              <w:left w:val="single" w:sz="4" w:space="0" w:color="auto"/>
              <w:bottom w:val="single" w:sz="4" w:space="0" w:color="auto"/>
              <w:right w:val="single" w:sz="4" w:space="0" w:color="auto"/>
            </w:tcBorders>
            <w:vAlign w:val="center"/>
            <w:hideMark/>
          </w:tcPr>
          <w:p w:rsidR="00057923" w:rsidRPr="00057923" w:rsidRDefault="00057923" w:rsidP="00057923">
            <w:pPr>
              <w:keepNext/>
              <w:spacing w:after="200" w:line="276" w:lineRule="auto"/>
              <w:jc w:val="both"/>
              <w:rPr>
                <w:rFonts w:ascii="Times New Roman" w:eastAsia="Times New Roman" w:hAnsi="Times New Roman" w:cs="Times New Roman"/>
                <w:b/>
                <w:sz w:val="18"/>
                <w:szCs w:val="18"/>
              </w:rPr>
            </w:pPr>
          </w:p>
        </w:tc>
        <w:tc>
          <w:tcPr>
            <w:tcW w:w="7828" w:type="dxa"/>
            <w:tcBorders>
              <w:top w:val="single" w:sz="4" w:space="0" w:color="auto"/>
              <w:left w:val="single" w:sz="4" w:space="0" w:color="auto"/>
              <w:bottom w:val="single" w:sz="4" w:space="0" w:color="auto"/>
              <w:right w:val="single" w:sz="4" w:space="0" w:color="auto"/>
            </w:tcBorders>
            <w:hideMark/>
          </w:tcPr>
          <w:p w:rsidR="00057923" w:rsidRPr="00057923" w:rsidRDefault="00057923" w:rsidP="00057923">
            <w:pPr>
              <w:keepNext/>
              <w:spacing w:after="200" w:line="276" w:lineRule="auto"/>
              <w:jc w:val="both"/>
              <w:rPr>
                <w:rFonts w:ascii="Times New Roman" w:eastAsia="Times New Roman" w:hAnsi="Times New Roman" w:cs="Times New Roman"/>
                <w:sz w:val="18"/>
                <w:szCs w:val="18"/>
              </w:rPr>
            </w:pPr>
            <w:r w:rsidRPr="00057923">
              <w:rPr>
                <w:rFonts w:ascii="Times New Roman" w:eastAsia="Times New Roman" w:hAnsi="Times New Roman" w:cs="Times New Roman"/>
                <w:sz w:val="18"/>
                <w:szCs w:val="18"/>
              </w:rPr>
              <w:t>práce vykonávané v kontrolovanom pásme, pri ktorých vzhľadom na úroveň a premenlivosť radiačných parametrov je na obmedzenie ožiarenia pracovníkov na úroveň limitov ožiarenia nevyhnutné používať osobné ochranné pracovné prostriedky a vykonávať dodatočné technické, organizačné alebo iné špecifické ochranné opatrenia</w:t>
            </w:r>
            <w:bookmarkStart w:id="14" w:name="_GoBack"/>
            <w:bookmarkEnd w:id="14"/>
          </w:p>
        </w:tc>
      </w:tr>
      <w:tr w:rsidR="00057923" w:rsidRPr="00057923" w:rsidTr="00A62543">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057923" w:rsidRPr="00057923" w:rsidRDefault="00057923" w:rsidP="00057923">
            <w:pPr>
              <w:keepNext/>
              <w:spacing w:after="200" w:line="276" w:lineRule="auto"/>
              <w:jc w:val="both"/>
              <w:rPr>
                <w:rFonts w:ascii="Times New Roman" w:eastAsia="Times New Roman" w:hAnsi="Times New Roman" w:cs="Times New Roman"/>
                <w:b/>
                <w:sz w:val="18"/>
                <w:szCs w:val="18"/>
              </w:rPr>
            </w:pPr>
            <w:r w:rsidRPr="00057923">
              <w:rPr>
                <w:rFonts w:ascii="Times New Roman" w:eastAsia="Times New Roman" w:hAnsi="Times New Roman" w:cs="Times New Roman"/>
                <w:b/>
                <w:sz w:val="18"/>
                <w:szCs w:val="18"/>
              </w:rPr>
              <w:t>Kategória 4</w:t>
            </w:r>
          </w:p>
        </w:tc>
        <w:tc>
          <w:tcPr>
            <w:tcW w:w="7828" w:type="dxa"/>
            <w:tcBorders>
              <w:top w:val="single" w:sz="4" w:space="0" w:color="auto"/>
              <w:left w:val="single" w:sz="4" w:space="0" w:color="auto"/>
              <w:bottom w:val="single" w:sz="4" w:space="0" w:color="auto"/>
              <w:right w:val="single" w:sz="4" w:space="0" w:color="auto"/>
            </w:tcBorders>
            <w:hideMark/>
          </w:tcPr>
          <w:p w:rsidR="00057923" w:rsidRPr="00057923" w:rsidRDefault="00057923" w:rsidP="00057923">
            <w:pPr>
              <w:keepNext/>
              <w:spacing w:after="200" w:line="276" w:lineRule="auto"/>
              <w:jc w:val="both"/>
              <w:rPr>
                <w:rFonts w:ascii="Times New Roman" w:eastAsia="Times New Roman" w:hAnsi="Times New Roman" w:cs="Times New Roman"/>
                <w:sz w:val="18"/>
                <w:szCs w:val="18"/>
              </w:rPr>
            </w:pPr>
            <w:r w:rsidRPr="00057923">
              <w:rPr>
                <w:rFonts w:ascii="Times New Roman" w:eastAsia="Times New Roman" w:hAnsi="Times New Roman" w:cs="Times New Roman"/>
                <w:sz w:val="18"/>
                <w:szCs w:val="18"/>
              </w:rPr>
              <w:t>práce, pri ktorých nie je možné znížiť technickými alebo organizačnými opatreniami expozíciu zamestnanca faktorom práce a pracovného prostredia na úroveň ustanovených limitov, expozícia faktorom práce a pracovného prostredia prekračuje limity, zisťujú sa zdravotné zmeny zamestnancov vo vzťahu k pôsobiacim faktorom a je potrebné vykonať technické opatrenia a iné špecifické ochranné opatrenia vrátane použitia osobných ochranných pracovných prostriedkov</w:t>
            </w:r>
          </w:p>
        </w:tc>
      </w:tr>
      <w:tr w:rsidR="00057923" w:rsidRPr="00057923" w:rsidTr="00A62543">
        <w:tc>
          <w:tcPr>
            <w:tcW w:w="0" w:type="auto"/>
            <w:vMerge/>
            <w:tcBorders>
              <w:top w:val="single" w:sz="4" w:space="0" w:color="auto"/>
              <w:left w:val="single" w:sz="4" w:space="0" w:color="auto"/>
              <w:bottom w:val="single" w:sz="4" w:space="0" w:color="auto"/>
              <w:right w:val="single" w:sz="4" w:space="0" w:color="auto"/>
            </w:tcBorders>
            <w:vAlign w:val="center"/>
            <w:hideMark/>
          </w:tcPr>
          <w:p w:rsidR="00057923" w:rsidRPr="00057923" w:rsidRDefault="00057923" w:rsidP="00057923">
            <w:pPr>
              <w:keepNext/>
              <w:spacing w:after="200" w:line="276" w:lineRule="auto"/>
              <w:jc w:val="both"/>
              <w:rPr>
                <w:rFonts w:ascii="Times New Roman" w:eastAsia="Times New Roman" w:hAnsi="Times New Roman" w:cs="Times New Roman"/>
                <w:b/>
                <w:sz w:val="18"/>
                <w:szCs w:val="18"/>
              </w:rPr>
            </w:pPr>
          </w:p>
        </w:tc>
        <w:tc>
          <w:tcPr>
            <w:tcW w:w="7828" w:type="dxa"/>
            <w:tcBorders>
              <w:top w:val="single" w:sz="4" w:space="0" w:color="auto"/>
              <w:left w:val="single" w:sz="4" w:space="0" w:color="auto"/>
              <w:bottom w:val="single" w:sz="4" w:space="0" w:color="auto"/>
              <w:right w:val="single" w:sz="4" w:space="0" w:color="auto"/>
            </w:tcBorders>
            <w:hideMark/>
          </w:tcPr>
          <w:p w:rsidR="00057923" w:rsidRPr="00057923" w:rsidRDefault="00057923" w:rsidP="00057923">
            <w:pPr>
              <w:keepNext/>
              <w:spacing w:after="200" w:line="276" w:lineRule="auto"/>
              <w:jc w:val="both"/>
              <w:rPr>
                <w:rFonts w:ascii="Times New Roman" w:eastAsia="Times New Roman" w:hAnsi="Times New Roman" w:cs="Times New Roman"/>
                <w:sz w:val="18"/>
                <w:szCs w:val="18"/>
              </w:rPr>
            </w:pPr>
            <w:r w:rsidRPr="00057923">
              <w:rPr>
                <w:rFonts w:ascii="Times New Roman" w:eastAsia="Times New Roman" w:hAnsi="Times New Roman" w:cs="Times New Roman"/>
                <w:sz w:val="18"/>
                <w:szCs w:val="18"/>
              </w:rPr>
              <w:t>práce, ktoré podľa miery expozície jednotlivým faktorom práce a pracovného prostredia patria do tretej kategórie, ale vzájomná kombinácia faktorov práce a pracovného prostredia zvyšuje riziko poškodenia zdravia</w:t>
            </w:r>
          </w:p>
        </w:tc>
      </w:tr>
      <w:tr w:rsidR="00057923" w:rsidRPr="00057923" w:rsidTr="00A62543">
        <w:tc>
          <w:tcPr>
            <w:tcW w:w="0" w:type="auto"/>
            <w:vMerge/>
            <w:tcBorders>
              <w:top w:val="single" w:sz="4" w:space="0" w:color="auto"/>
              <w:left w:val="single" w:sz="4" w:space="0" w:color="auto"/>
              <w:bottom w:val="single" w:sz="4" w:space="0" w:color="auto"/>
              <w:right w:val="single" w:sz="4" w:space="0" w:color="auto"/>
            </w:tcBorders>
            <w:vAlign w:val="center"/>
            <w:hideMark/>
          </w:tcPr>
          <w:p w:rsidR="00057923" w:rsidRPr="00057923" w:rsidRDefault="00057923" w:rsidP="00057923">
            <w:pPr>
              <w:keepNext/>
              <w:spacing w:after="200" w:line="276" w:lineRule="auto"/>
              <w:jc w:val="both"/>
              <w:rPr>
                <w:rFonts w:ascii="Times New Roman" w:eastAsia="Times New Roman" w:hAnsi="Times New Roman" w:cs="Times New Roman"/>
                <w:b/>
                <w:sz w:val="18"/>
                <w:szCs w:val="18"/>
              </w:rPr>
            </w:pPr>
          </w:p>
        </w:tc>
        <w:tc>
          <w:tcPr>
            <w:tcW w:w="7828" w:type="dxa"/>
            <w:tcBorders>
              <w:top w:val="single" w:sz="4" w:space="0" w:color="auto"/>
              <w:left w:val="single" w:sz="4" w:space="0" w:color="auto"/>
              <w:bottom w:val="single" w:sz="4" w:space="0" w:color="auto"/>
              <w:right w:val="single" w:sz="4" w:space="0" w:color="auto"/>
            </w:tcBorders>
            <w:hideMark/>
          </w:tcPr>
          <w:p w:rsidR="00057923" w:rsidRPr="00057923" w:rsidRDefault="00057923" w:rsidP="00057923">
            <w:pPr>
              <w:keepNext/>
              <w:spacing w:after="200" w:line="276" w:lineRule="auto"/>
              <w:jc w:val="both"/>
              <w:rPr>
                <w:rFonts w:ascii="Times New Roman" w:eastAsia="Times New Roman" w:hAnsi="Times New Roman" w:cs="Times New Roman"/>
                <w:sz w:val="18"/>
                <w:szCs w:val="18"/>
              </w:rPr>
            </w:pPr>
            <w:r w:rsidRPr="00057923">
              <w:rPr>
                <w:rFonts w:ascii="Times New Roman" w:eastAsia="Times New Roman" w:hAnsi="Times New Roman" w:cs="Times New Roman"/>
                <w:sz w:val="18"/>
                <w:szCs w:val="18"/>
              </w:rPr>
              <w:t>práce vykonávané pri činnostiach vedúcich k ožiareniu, pri ktorých ožiarenie pracovníkov prekračuje limity ožiarenia a takéto ožiarenie kladne posúdil ÚVZ SR</w:t>
            </w:r>
          </w:p>
        </w:tc>
      </w:tr>
    </w:tbl>
    <w:p w:rsidR="00057923" w:rsidRPr="00057923" w:rsidRDefault="00057923" w:rsidP="00057923">
      <w:pPr>
        <w:spacing w:after="200" w:line="276" w:lineRule="auto"/>
        <w:rPr>
          <w:rFonts w:ascii="Book Antiqua" w:eastAsia="Times New Roman" w:hAnsi="Book Antiqua" w:cs="Times New Roman"/>
          <w:b/>
          <w:i/>
        </w:rPr>
      </w:pPr>
    </w:p>
    <w:p w:rsidR="0049452B" w:rsidRDefault="0049452B"/>
    <w:sectPr w:rsidR="0049452B" w:rsidSect="00867537">
      <w:footerReference w:type="default" r:id="rId24"/>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6A2" w:rsidRDefault="007926A2" w:rsidP="00057923">
      <w:pPr>
        <w:spacing w:after="0" w:line="240" w:lineRule="auto"/>
      </w:pPr>
      <w:r>
        <w:separator/>
      </w:r>
    </w:p>
  </w:endnote>
  <w:endnote w:type="continuationSeparator" w:id="0">
    <w:p w:rsidR="007926A2" w:rsidRDefault="007926A2" w:rsidP="0005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F0B" w:rsidRDefault="007926A2">
    <w:pPr>
      <w:pStyle w:val="Pta"/>
      <w:jc w:val="center"/>
    </w:pPr>
    <w:r>
      <w:fldChar w:fldCharType="begin"/>
    </w:r>
    <w:r>
      <w:instrText>PAGE   \* MERGEFORMAT</w:instrText>
    </w:r>
    <w:r>
      <w:fldChar w:fldCharType="separate"/>
    </w:r>
    <w:r>
      <w:rPr>
        <w:noProof/>
      </w:rPr>
      <w:t>85</w:t>
    </w:r>
    <w:r>
      <w:fldChar w:fldCharType="end"/>
    </w:r>
  </w:p>
  <w:p w:rsidR="00305F0B" w:rsidRDefault="007926A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6A2" w:rsidRDefault="007926A2" w:rsidP="00057923">
      <w:pPr>
        <w:spacing w:after="0" w:line="240" w:lineRule="auto"/>
      </w:pPr>
      <w:r>
        <w:separator/>
      </w:r>
    </w:p>
  </w:footnote>
  <w:footnote w:type="continuationSeparator" w:id="0">
    <w:p w:rsidR="007926A2" w:rsidRDefault="007926A2" w:rsidP="00057923">
      <w:pPr>
        <w:spacing w:after="0" w:line="240" w:lineRule="auto"/>
      </w:pPr>
      <w:r>
        <w:continuationSeparator/>
      </w:r>
    </w:p>
  </w:footnote>
  <w:footnote w:id="1">
    <w:p w:rsidR="00057923" w:rsidRDefault="00057923" w:rsidP="00057923">
      <w:pPr>
        <w:autoSpaceDE w:val="0"/>
        <w:autoSpaceDN w:val="0"/>
        <w:adjustRightInd w:val="0"/>
        <w:spacing w:after="0" w:line="240" w:lineRule="auto"/>
        <w:jc w:val="both"/>
      </w:pPr>
      <w:r w:rsidRPr="004266E8">
        <w:rPr>
          <w:rStyle w:val="Odkaznapoznmkupodiarou"/>
          <w:rFonts w:ascii="Book Antiqua" w:hAnsi="Book Antiqua"/>
        </w:rPr>
        <w:footnoteRef/>
      </w:r>
      <w:r w:rsidRPr="004266E8">
        <w:rPr>
          <w:rFonts w:ascii="Book Antiqua" w:hAnsi="Book Antiqua"/>
        </w:rPr>
        <w:t xml:space="preserve"> </w:t>
      </w:r>
      <w:r w:rsidRPr="004266E8">
        <w:rPr>
          <w:rFonts w:ascii="Book Antiqua" w:hAnsi="Book Antiqua" w:cs="Frutiger-Light"/>
          <w:sz w:val="18"/>
          <w:szCs w:val="18"/>
        </w:rPr>
        <w:t>Predlženie pracovného života prostredníctvom flexibilných dôchodkových schém: Čiastkový odchod z trhu práce (</w:t>
      </w:r>
      <w:proofErr w:type="spellStart"/>
      <w:r w:rsidRPr="004266E8">
        <w:rPr>
          <w:rFonts w:ascii="Book Antiqua" w:hAnsi="Book Antiqua" w:cs="Frutiger-Light"/>
          <w:sz w:val="18"/>
          <w:szCs w:val="18"/>
        </w:rPr>
        <w:t>Extending</w:t>
      </w:r>
      <w:proofErr w:type="spellEnd"/>
      <w:r w:rsidRPr="004266E8">
        <w:rPr>
          <w:rFonts w:ascii="Book Antiqua" w:hAnsi="Book Antiqua" w:cs="Frutiger-Light"/>
          <w:sz w:val="18"/>
          <w:szCs w:val="18"/>
        </w:rPr>
        <w:t xml:space="preserve"> </w:t>
      </w:r>
      <w:proofErr w:type="spellStart"/>
      <w:r w:rsidRPr="004266E8">
        <w:rPr>
          <w:rFonts w:ascii="Book Antiqua" w:hAnsi="Book Antiqua" w:cs="Frutiger-Light"/>
          <w:sz w:val="18"/>
          <w:szCs w:val="18"/>
        </w:rPr>
        <w:t>working</w:t>
      </w:r>
      <w:proofErr w:type="spellEnd"/>
      <w:r w:rsidRPr="004266E8">
        <w:rPr>
          <w:rFonts w:ascii="Book Antiqua" w:hAnsi="Book Antiqua" w:cs="Frutiger-Light"/>
          <w:sz w:val="18"/>
          <w:szCs w:val="18"/>
        </w:rPr>
        <w:t xml:space="preserve"> </w:t>
      </w:r>
      <w:proofErr w:type="spellStart"/>
      <w:r w:rsidRPr="004266E8">
        <w:rPr>
          <w:rFonts w:ascii="Book Antiqua" w:hAnsi="Book Antiqua" w:cs="Frutiger-Light"/>
          <w:sz w:val="18"/>
          <w:szCs w:val="18"/>
        </w:rPr>
        <w:t>lives</w:t>
      </w:r>
      <w:proofErr w:type="spellEnd"/>
      <w:r w:rsidRPr="004266E8">
        <w:rPr>
          <w:rFonts w:ascii="Book Antiqua" w:hAnsi="Book Antiqua" w:cs="Frutiger-Light"/>
          <w:sz w:val="18"/>
          <w:szCs w:val="18"/>
        </w:rPr>
        <w:t xml:space="preserve"> </w:t>
      </w:r>
      <w:proofErr w:type="spellStart"/>
      <w:r w:rsidRPr="004266E8">
        <w:rPr>
          <w:rFonts w:ascii="Book Antiqua" w:hAnsi="Book Antiqua" w:cs="Frutiger-Light"/>
          <w:sz w:val="18"/>
          <w:szCs w:val="18"/>
        </w:rPr>
        <w:t>through</w:t>
      </w:r>
      <w:proofErr w:type="spellEnd"/>
      <w:r w:rsidRPr="004266E8">
        <w:rPr>
          <w:rFonts w:ascii="Book Antiqua" w:hAnsi="Book Antiqua" w:cs="Frutiger-Light"/>
          <w:sz w:val="18"/>
          <w:szCs w:val="18"/>
        </w:rPr>
        <w:t xml:space="preserve"> </w:t>
      </w:r>
      <w:proofErr w:type="spellStart"/>
      <w:r w:rsidRPr="004266E8">
        <w:rPr>
          <w:rFonts w:ascii="Book Antiqua" w:hAnsi="Book Antiqua" w:cs="Frutiger-Light"/>
          <w:sz w:val="18"/>
          <w:szCs w:val="18"/>
        </w:rPr>
        <w:t>flexible</w:t>
      </w:r>
      <w:proofErr w:type="spellEnd"/>
      <w:r w:rsidRPr="004266E8">
        <w:rPr>
          <w:rFonts w:ascii="Book Antiqua" w:hAnsi="Book Antiqua" w:cs="Frutiger-Light"/>
          <w:sz w:val="18"/>
          <w:szCs w:val="18"/>
        </w:rPr>
        <w:t xml:space="preserve"> </w:t>
      </w:r>
      <w:proofErr w:type="spellStart"/>
      <w:r w:rsidRPr="004266E8">
        <w:rPr>
          <w:rFonts w:ascii="Book Antiqua" w:hAnsi="Book Antiqua" w:cs="Frutiger-Light"/>
          <w:sz w:val="18"/>
          <w:szCs w:val="18"/>
        </w:rPr>
        <w:t>retirement</w:t>
      </w:r>
      <w:proofErr w:type="spellEnd"/>
      <w:r w:rsidRPr="004266E8">
        <w:rPr>
          <w:rFonts w:ascii="Book Antiqua" w:hAnsi="Book Antiqua" w:cs="Frutiger-Light"/>
          <w:sz w:val="18"/>
          <w:szCs w:val="18"/>
        </w:rPr>
        <w:t xml:space="preserve"> </w:t>
      </w:r>
      <w:proofErr w:type="spellStart"/>
      <w:r w:rsidRPr="004266E8">
        <w:rPr>
          <w:rFonts w:ascii="Book Antiqua" w:hAnsi="Book Antiqua" w:cs="Frutiger-Light"/>
          <w:sz w:val="18"/>
          <w:szCs w:val="18"/>
        </w:rPr>
        <w:t>schemes</w:t>
      </w:r>
      <w:proofErr w:type="spellEnd"/>
      <w:r w:rsidRPr="004266E8">
        <w:rPr>
          <w:rFonts w:ascii="Book Antiqua" w:hAnsi="Book Antiqua" w:cs="Frutiger-Light"/>
          <w:sz w:val="18"/>
          <w:szCs w:val="18"/>
        </w:rPr>
        <w:t xml:space="preserve">: </w:t>
      </w:r>
      <w:proofErr w:type="spellStart"/>
      <w:r w:rsidRPr="004266E8">
        <w:rPr>
          <w:rFonts w:ascii="Book Antiqua" w:hAnsi="Book Antiqua" w:cs="Frutiger-Light"/>
          <w:sz w:val="18"/>
          <w:szCs w:val="18"/>
        </w:rPr>
        <w:t>Partial</w:t>
      </w:r>
      <w:proofErr w:type="spellEnd"/>
      <w:r w:rsidRPr="004266E8">
        <w:rPr>
          <w:rFonts w:ascii="Book Antiqua" w:hAnsi="Book Antiqua" w:cs="Frutiger-Light"/>
          <w:sz w:val="18"/>
          <w:szCs w:val="18"/>
        </w:rPr>
        <w:t xml:space="preserve"> </w:t>
      </w:r>
      <w:proofErr w:type="spellStart"/>
      <w:r w:rsidRPr="004266E8">
        <w:rPr>
          <w:rFonts w:ascii="Book Antiqua" w:hAnsi="Book Antiqua" w:cs="Frutiger-Light"/>
          <w:sz w:val="18"/>
          <w:szCs w:val="18"/>
        </w:rPr>
        <w:t>retirement</w:t>
      </w:r>
      <w:proofErr w:type="spellEnd"/>
      <w:r w:rsidRPr="004266E8">
        <w:rPr>
          <w:rFonts w:ascii="Book Antiqua" w:hAnsi="Book Antiqua" w:cs="Frutiger-Light"/>
          <w:sz w:val="18"/>
          <w:szCs w:val="18"/>
        </w:rPr>
        <w:t>), 2016</w:t>
      </w:r>
    </w:p>
  </w:footnote>
  <w:footnote w:id="2">
    <w:p w:rsidR="00057923" w:rsidRDefault="00057923" w:rsidP="00057923">
      <w:pPr>
        <w:pStyle w:val="Textpoznmkypodiarou"/>
      </w:pPr>
      <w:r w:rsidRPr="00EC782F">
        <w:rPr>
          <w:rStyle w:val="Odkaznapoznmkupodiarou"/>
          <w:rFonts w:ascii="Book Antiqua" w:hAnsi="Book Antiqua"/>
          <w:sz w:val="18"/>
          <w:szCs w:val="18"/>
        </w:rPr>
        <w:footnoteRef/>
      </w:r>
      <w:r w:rsidRPr="00EC782F">
        <w:rPr>
          <w:rFonts w:ascii="Book Antiqua" w:hAnsi="Book Antiqua"/>
          <w:sz w:val="18"/>
          <w:szCs w:val="18"/>
        </w:rPr>
        <w:t xml:space="preserve"> Zdroj </w:t>
      </w:r>
      <w:proofErr w:type="spellStart"/>
      <w:r w:rsidRPr="00EC782F">
        <w:rPr>
          <w:rFonts w:ascii="Book Antiqua" w:hAnsi="Book Antiqua"/>
          <w:sz w:val="18"/>
          <w:szCs w:val="18"/>
        </w:rPr>
        <w:t>Eurostat</w:t>
      </w:r>
      <w:proofErr w:type="spellEnd"/>
      <w:r w:rsidRPr="00EC782F">
        <w:rPr>
          <w:rFonts w:ascii="Book Antiqua" w:hAnsi="Book Antiqua"/>
          <w:sz w:val="18"/>
          <w:szCs w:val="18"/>
        </w:rPr>
        <w:t xml:space="preserve"> – LFS za rok 2017 (viď Príloha – Tabuľka 4 a 5). </w:t>
      </w:r>
    </w:p>
  </w:footnote>
  <w:footnote w:id="3">
    <w:p w:rsidR="00057923" w:rsidRDefault="00057923" w:rsidP="00057923">
      <w:pPr>
        <w:pStyle w:val="Textpoznmkypodiarou"/>
      </w:pPr>
      <w:r w:rsidRPr="00EC782F">
        <w:rPr>
          <w:rStyle w:val="Odkaznapoznmkupodiarou"/>
          <w:rFonts w:ascii="Book Antiqua" w:hAnsi="Book Antiqua"/>
          <w:sz w:val="18"/>
          <w:szCs w:val="18"/>
        </w:rPr>
        <w:footnoteRef/>
      </w:r>
      <w:r w:rsidRPr="00EC782F">
        <w:rPr>
          <w:rFonts w:ascii="Book Antiqua" w:hAnsi="Book Antiqua"/>
          <w:sz w:val="18"/>
          <w:szCs w:val="18"/>
        </w:rPr>
        <w:t xml:space="preserve"> Zdroj </w:t>
      </w:r>
      <w:proofErr w:type="spellStart"/>
      <w:r w:rsidRPr="00EC782F">
        <w:rPr>
          <w:rFonts w:ascii="Book Antiqua" w:hAnsi="Book Antiqua"/>
          <w:sz w:val="18"/>
          <w:szCs w:val="18"/>
        </w:rPr>
        <w:t>Eurostat</w:t>
      </w:r>
      <w:proofErr w:type="spellEnd"/>
      <w:r w:rsidRPr="00EC782F">
        <w:rPr>
          <w:rFonts w:ascii="Book Antiqua" w:hAnsi="Book Antiqua"/>
          <w:sz w:val="18"/>
          <w:szCs w:val="18"/>
        </w:rPr>
        <w:t xml:space="preserve"> za rok 2016 (viď Príloha – Tabuľka 6 - 9).</w:t>
      </w:r>
    </w:p>
  </w:footnote>
  <w:footnote w:id="4">
    <w:p w:rsidR="00057923" w:rsidRDefault="00057923" w:rsidP="00057923">
      <w:pPr>
        <w:pStyle w:val="Textpoznmkypodiarou"/>
        <w:jc w:val="both"/>
      </w:pPr>
      <w:r w:rsidRPr="00EC782F">
        <w:rPr>
          <w:rStyle w:val="Odkaznapoznmkupodiarou"/>
          <w:rFonts w:ascii="Book Antiqua" w:hAnsi="Book Antiqua"/>
          <w:sz w:val="18"/>
          <w:szCs w:val="18"/>
        </w:rPr>
        <w:footnoteRef/>
      </w:r>
      <w:r w:rsidRPr="00EC782F">
        <w:rPr>
          <w:rFonts w:ascii="Book Antiqua" w:hAnsi="Book Antiqua"/>
          <w:sz w:val="18"/>
          <w:szCs w:val="18"/>
        </w:rPr>
        <w:t xml:space="preserve"> Náhradné doby sú doby získané pred 1. januárom 2004 podľa právnych predpisov účinných do 31. decembra 2003, počas ktorých poistenec z osobitných dôvodov nevykonával žiadnu pracovnú činnosť a ktoré sa považujú za obdobie dôchodkového poistenia. Za náhradnú dobu sa napríklad považuje: doba služby v československých ozbrojených silách , doba evidovanej nezamestnanosti, doba starostlivosti o dieťa atď.</w:t>
      </w:r>
    </w:p>
  </w:footnote>
  <w:footnote w:id="5">
    <w:p w:rsidR="00057923" w:rsidRPr="00EC782F" w:rsidRDefault="00057923" w:rsidP="00057923">
      <w:pPr>
        <w:pStyle w:val="Textkomentra"/>
        <w:jc w:val="both"/>
        <w:rPr>
          <w:rFonts w:ascii="Book Antiqua" w:hAnsi="Book Antiqua"/>
          <w:sz w:val="18"/>
          <w:szCs w:val="18"/>
        </w:rPr>
      </w:pPr>
      <w:r w:rsidRPr="00EC782F">
        <w:rPr>
          <w:rStyle w:val="Odkaznapoznmkupodiarou"/>
          <w:rFonts w:ascii="Book Antiqua" w:hAnsi="Book Antiqua"/>
          <w:sz w:val="18"/>
          <w:szCs w:val="18"/>
        </w:rPr>
        <w:footnoteRef/>
      </w:r>
      <w:r w:rsidRPr="00EC782F">
        <w:rPr>
          <w:rFonts w:ascii="Book Antiqua" w:hAnsi="Book Antiqua"/>
          <w:sz w:val="18"/>
          <w:szCs w:val="18"/>
        </w:rPr>
        <w:t xml:space="preserve"> Zdroj: </w:t>
      </w:r>
      <w:hyperlink r:id="rId1" w:history="1">
        <w:r w:rsidRPr="00EC782F">
          <w:rPr>
            <w:rStyle w:val="Hypertextovprepojenie"/>
            <w:rFonts w:ascii="Book Antiqua" w:hAnsi="Book Antiqua"/>
            <w:sz w:val="18"/>
            <w:szCs w:val="18"/>
          </w:rPr>
          <w:t>https://ec.europa.eu/info/business-economy-euro/economic-and-fiscal-policy-coordination/eu-economic-governance-monitoring-prevention-correction/european-semester/european-semester-your-country/slovakia/europe-2020-targets-statistics-and-indicators-slovakia_en</w:t>
        </w:r>
      </w:hyperlink>
    </w:p>
    <w:p w:rsidR="00057923" w:rsidRDefault="00057923" w:rsidP="00057923">
      <w:pPr>
        <w:pStyle w:val="Textkomentra"/>
        <w:jc w:val="both"/>
      </w:pPr>
    </w:p>
  </w:footnote>
  <w:footnote w:id="6">
    <w:p w:rsidR="00057923" w:rsidRDefault="00057923" w:rsidP="00057923">
      <w:pPr>
        <w:pStyle w:val="Textpoznmkypodiarou"/>
        <w:jc w:val="both"/>
      </w:pPr>
      <w:r w:rsidRPr="006705BC">
        <w:rPr>
          <w:rStyle w:val="Odkaznapoznmkupodiarou"/>
          <w:rFonts w:ascii="Book Antiqua" w:hAnsi="Book Antiqua"/>
          <w:sz w:val="18"/>
          <w:szCs w:val="18"/>
        </w:rPr>
        <w:footnoteRef/>
      </w:r>
      <w:r w:rsidRPr="00BB0FF6">
        <w:rPr>
          <w:rFonts w:ascii="Book Antiqua" w:hAnsi="Book Antiqua"/>
          <w:sz w:val="18"/>
          <w:szCs w:val="18"/>
        </w:rPr>
        <w:t xml:space="preserve"> Pri </w:t>
      </w:r>
      <w:proofErr w:type="spellStart"/>
      <w:r w:rsidRPr="00BB0FF6">
        <w:rPr>
          <w:rFonts w:ascii="Book Antiqua" w:hAnsi="Book Antiqua"/>
          <w:sz w:val="18"/>
          <w:szCs w:val="18"/>
        </w:rPr>
        <w:t>Beveridgovom</w:t>
      </w:r>
      <w:proofErr w:type="spellEnd"/>
      <w:r w:rsidRPr="00BB0FF6">
        <w:rPr>
          <w:rFonts w:ascii="Book Antiqua" w:hAnsi="Book Antiqua"/>
          <w:sz w:val="18"/>
          <w:szCs w:val="18"/>
        </w:rPr>
        <w:t xml:space="preserve"> modeli dôchodkového systému je I. pilier hradený z daní, pričom poskytuje univerzálnu dávku, ktorej cieľ</w:t>
      </w:r>
      <w:r w:rsidRPr="00217C33">
        <w:rPr>
          <w:rFonts w:ascii="Book Antiqua" w:hAnsi="Book Antiqua"/>
          <w:sz w:val="18"/>
          <w:szCs w:val="18"/>
        </w:rPr>
        <w:t xml:space="preserve">om je ochrana pred chudobou. V týchto krajinách  sú II. a III. pilier dôchodkového systému pomerne robustne rozšírené a majú plniť funkciu náhrady príjmu. </w:t>
      </w:r>
    </w:p>
  </w:footnote>
  <w:footnote w:id="7">
    <w:p w:rsidR="00057923" w:rsidRDefault="00057923" w:rsidP="00057923">
      <w:pPr>
        <w:pStyle w:val="Textpoznmkypodiarou"/>
        <w:jc w:val="both"/>
      </w:pPr>
      <w:r w:rsidRPr="00EC782F">
        <w:rPr>
          <w:rStyle w:val="Odkaznapoznmkupodiarou"/>
          <w:rFonts w:ascii="Book Antiqua" w:hAnsi="Book Antiqua"/>
          <w:sz w:val="18"/>
          <w:szCs w:val="18"/>
        </w:rPr>
        <w:footnoteRef/>
      </w:r>
      <w:r w:rsidRPr="00EC782F">
        <w:rPr>
          <w:rFonts w:ascii="Book Antiqua" w:hAnsi="Book Antiqua"/>
          <w:sz w:val="18"/>
          <w:szCs w:val="18"/>
        </w:rPr>
        <w:t xml:space="preserve"> </w:t>
      </w:r>
      <w:r w:rsidRPr="006705BC">
        <w:rPr>
          <w:rFonts w:ascii="Book Antiqua" w:hAnsi="Book Antiqua"/>
          <w:sz w:val="18"/>
          <w:szCs w:val="18"/>
        </w:rPr>
        <w:t xml:space="preserve">Pri </w:t>
      </w:r>
      <w:r w:rsidRPr="00BB0FF6">
        <w:rPr>
          <w:rFonts w:ascii="Book Antiqua" w:hAnsi="Book Antiqua"/>
          <w:sz w:val="18"/>
          <w:szCs w:val="18"/>
        </w:rPr>
        <w:t>Bismarckovom modeli dôchodkového systému je I. pilier hradený z príspevkov hradených poistencami a zamestnávateľmi, pričom poskytuje náhradu príjmu priamo závislú na predchádzajúcom príjme dotknutej osoby. V týchto krajinách sú II. a III. pilier dôchodkového systému málo rozšírené.</w:t>
      </w:r>
    </w:p>
  </w:footnote>
  <w:footnote w:id="8">
    <w:p w:rsidR="00057923" w:rsidRDefault="00057923" w:rsidP="00057923">
      <w:pPr>
        <w:pStyle w:val="Textpoznmkypodiarou"/>
        <w:jc w:val="both"/>
      </w:pPr>
      <w:r w:rsidRPr="006705BC">
        <w:rPr>
          <w:rStyle w:val="Odkaznapoznmkupodiarou"/>
          <w:rFonts w:ascii="Book Antiqua" w:hAnsi="Book Antiqua"/>
          <w:sz w:val="18"/>
          <w:szCs w:val="18"/>
        </w:rPr>
        <w:footnoteRef/>
      </w:r>
      <w:r w:rsidRPr="00BB0FF6">
        <w:rPr>
          <w:rFonts w:ascii="Book Antiqua" w:hAnsi="Book Antiqua"/>
          <w:sz w:val="18"/>
          <w:szCs w:val="18"/>
        </w:rPr>
        <w:t xml:space="preserve"> Nedisponujeme medzigeneračnými úmrtnostnými tabuľkami používanými životnými poisťovňami a ani ďalšími predpokladmi (nákladmi) vstupujúcimi do cash-</w:t>
      </w:r>
      <w:proofErr w:type="spellStart"/>
      <w:r w:rsidRPr="00BB0FF6">
        <w:rPr>
          <w:rFonts w:ascii="Book Antiqua" w:hAnsi="Book Antiqua"/>
          <w:sz w:val="18"/>
          <w:szCs w:val="18"/>
        </w:rPr>
        <w:t>flow</w:t>
      </w:r>
      <w:proofErr w:type="spellEnd"/>
      <w:r w:rsidRPr="00BB0FF6">
        <w:rPr>
          <w:rFonts w:ascii="Book Antiqua" w:hAnsi="Book Antiqua"/>
          <w:sz w:val="18"/>
          <w:szCs w:val="18"/>
        </w:rPr>
        <w:t xml:space="preserve"> modelu na výpočet doživotnej anuity. </w:t>
      </w:r>
    </w:p>
  </w:footnote>
  <w:footnote w:id="9">
    <w:p w:rsidR="00057923" w:rsidRDefault="00057923" w:rsidP="00057923">
      <w:pPr>
        <w:pStyle w:val="Textpoznmkypodiarou"/>
        <w:jc w:val="both"/>
      </w:pPr>
      <w:r w:rsidRPr="00217C33">
        <w:rPr>
          <w:rStyle w:val="Odkaznapoznmkupodiarou"/>
          <w:rFonts w:ascii="Book Antiqua" w:hAnsi="Book Antiqua"/>
          <w:sz w:val="18"/>
          <w:szCs w:val="18"/>
        </w:rPr>
        <w:footnoteRef/>
      </w:r>
      <w:r w:rsidRPr="00217C33">
        <w:rPr>
          <w:rFonts w:ascii="Book Antiqua" w:hAnsi="Book Antiqua"/>
          <w:sz w:val="18"/>
          <w:szCs w:val="18"/>
        </w:rPr>
        <w:t xml:space="preserve"> Pripomíname skutočnosť, že po dovŕšení dôchodkového veku sú pôvodne priznané a vyplácané predčasné starobné dôchodky vykazované v štatistikách ako starobné dôchodky (</w:t>
      </w:r>
      <w:r w:rsidRPr="002D4632">
        <w:rPr>
          <w:rFonts w:ascii="Book Antiqua" w:hAnsi="Book Antiqua"/>
          <w:sz w:val="18"/>
          <w:szCs w:val="18"/>
        </w:rPr>
        <w:t xml:space="preserve">aj keď krátenie zostáva). Tento postup je v súlade s metodikou </w:t>
      </w:r>
      <w:proofErr w:type="spellStart"/>
      <w:r w:rsidRPr="002D4632">
        <w:rPr>
          <w:rFonts w:ascii="Book Antiqua" w:hAnsi="Book Antiqua"/>
          <w:sz w:val="18"/>
          <w:szCs w:val="18"/>
        </w:rPr>
        <w:t>Eurostatu</w:t>
      </w:r>
      <w:proofErr w:type="spellEnd"/>
      <w:r w:rsidRPr="002D4632">
        <w:rPr>
          <w:rFonts w:ascii="Book Antiqua" w:hAnsi="Book Antiqua"/>
          <w:sz w:val="18"/>
          <w:szCs w:val="18"/>
        </w:rPr>
        <w:t xml:space="preserve"> ESSPROS.</w:t>
      </w:r>
    </w:p>
  </w:footnote>
  <w:footnote w:id="10">
    <w:p w:rsidR="00057923" w:rsidRDefault="00057923" w:rsidP="00057923">
      <w:pPr>
        <w:pStyle w:val="Textpoznmkypodiarou"/>
        <w:jc w:val="both"/>
      </w:pPr>
      <w:r w:rsidRPr="00EC782F">
        <w:rPr>
          <w:rStyle w:val="Odkaznapoznmkupodiarou"/>
          <w:rFonts w:ascii="Book Antiqua" w:hAnsi="Book Antiqua"/>
          <w:sz w:val="18"/>
          <w:szCs w:val="18"/>
        </w:rPr>
        <w:footnoteRef/>
      </w:r>
      <w:r w:rsidRPr="00EC782F">
        <w:rPr>
          <w:rFonts w:ascii="Book Antiqua" w:hAnsi="Book Antiqua"/>
          <w:sz w:val="18"/>
          <w:szCs w:val="18"/>
        </w:rPr>
        <w:t xml:space="preserve"> Individuálne správne nastavenie krátenia má lineárny trend na celom sledovanom horizonte, t. j. období od jedného mesiaca po 2 roky. </w:t>
      </w:r>
    </w:p>
  </w:footnote>
  <w:footnote w:id="11">
    <w:p w:rsidR="00057923" w:rsidRDefault="00057923" w:rsidP="00057923">
      <w:pPr>
        <w:pStyle w:val="Textpoznmkypodiarou"/>
        <w:jc w:val="both"/>
      </w:pPr>
      <w:r w:rsidRPr="00446967">
        <w:rPr>
          <w:rStyle w:val="Odkaznapoznmkupodiarou"/>
          <w:rFonts w:ascii="Book Antiqua" w:hAnsi="Book Antiqua"/>
          <w:sz w:val="18"/>
          <w:szCs w:val="18"/>
        </w:rPr>
        <w:footnoteRef/>
      </w:r>
      <w:r w:rsidRPr="00446967">
        <w:rPr>
          <w:rFonts w:ascii="Book Antiqua" w:hAnsi="Book Antiqua"/>
          <w:sz w:val="18"/>
          <w:szCs w:val="18"/>
        </w:rPr>
        <w:t xml:space="preserve">  MPSVR SR disponuje podrobnou databázovou základňou údajov zo Sociálnej poisťovne od roku 2004 o poistencoch a ich poistných vzťahoch  (zamestnanec, SZČO, poistenec štátu).  Údajmi o poistných vzťahoch pred rokom 2004 disponuje ministerstvo tiež, kvalita týchto údajov je však nízka.</w:t>
      </w:r>
    </w:p>
  </w:footnote>
  <w:footnote w:id="12">
    <w:p w:rsidR="00057923" w:rsidRDefault="00057923" w:rsidP="00057923">
      <w:pPr>
        <w:pStyle w:val="Textpoznmkypodiarou"/>
      </w:pPr>
      <w:r>
        <w:rPr>
          <w:rStyle w:val="Odkaznapoznmkupodiarou"/>
        </w:rPr>
        <w:footnoteRef/>
      </w:r>
      <w:r>
        <w:t xml:space="preserve"> Priemerným poistencom rozumieme osobu, ktorá počas svojej kariéry pred a po vzniku nároku na starobný dôchodok zarábala priemernú mzdu a získala 42 rokov dôchodkového poistenia.</w:t>
      </w:r>
    </w:p>
  </w:footnote>
  <w:footnote w:id="13">
    <w:p w:rsidR="00057923" w:rsidRDefault="00057923" w:rsidP="00057923">
      <w:pPr>
        <w:pStyle w:val="Textpoznmkypodiarou"/>
      </w:pPr>
      <w:r w:rsidRPr="00EC782F">
        <w:rPr>
          <w:rStyle w:val="Odkaznapoznmkupodiarou"/>
          <w:rFonts w:ascii="Book Antiqua" w:hAnsi="Book Antiqua"/>
          <w:color w:val="000000" w:themeColor="text1"/>
          <w:sz w:val="18"/>
          <w:szCs w:val="18"/>
        </w:rPr>
        <w:footnoteRef/>
      </w:r>
      <w:r w:rsidRPr="00EC782F">
        <w:rPr>
          <w:rFonts w:ascii="Book Antiqua" w:hAnsi="Book Antiqua"/>
          <w:color w:val="000000" w:themeColor="text1"/>
          <w:sz w:val="18"/>
          <w:szCs w:val="18"/>
        </w:rPr>
        <w:t xml:space="preserve"> </w:t>
      </w:r>
      <w:r w:rsidRPr="000A7309">
        <w:rPr>
          <w:rStyle w:val="Zvraznenie"/>
          <w:rFonts w:ascii="Book Antiqua" w:hAnsi="Book Antiqua" w:cs="Arial"/>
          <w:b w:val="0"/>
          <w:color w:val="000000" w:themeColor="text1"/>
          <w:sz w:val="18"/>
          <w:szCs w:val="18"/>
        </w:rPr>
        <w:t>Zákon č</w:t>
      </w:r>
      <w:r w:rsidRPr="000A7309">
        <w:rPr>
          <w:rStyle w:val="st1"/>
          <w:rFonts w:ascii="Book Antiqua" w:hAnsi="Book Antiqua" w:cs="Arial"/>
          <w:b/>
          <w:color w:val="000000" w:themeColor="text1"/>
          <w:sz w:val="18"/>
          <w:szCs w:val="18"/>
        </w:rPr>
        <w:t xml:space="preserve">. </w:t>
      </w:r>
      <w:r w:rsidRPr="000A7309">
        <w:rPr>
          <w:rStyle w:val="Zvraznenie"/>
          <w:rFonts w:ascii="Book Antiqua" w:hAnsi="Book Antiqua" w:cs="Arial"/>
          <w:b w:val="0"/>
          <w:color w:val="000000" w:themeColor="text1"/>
          <w:sz w:val="18"/>
          <w:szCs w:val="18"/>
        </w:rPr>
        <w:t>311/2001</w:t>
      </w:r>
      <w:r w:rsidRPr="000A7309">
        <w:rPr>
          <w:rStyle w:val="st1"/>
          <w:rFonts w:ascii="Book Antiqua" w:hAnsi="Book Antiqua" w:cs="Arial"/>
          <w:b/>
          <w:color w:val="000000" w:themeColor="text1"/>
          <w:sz w:val="18"/>
          <w:szCs w:val="18"/>
        </w:rPr>
        <w:t xml:space="preserve"> </w:t>
      </w:r>
      <w:r w:rsidRPr="000A7309">
        <w:rPr>
          <w:rStyle w:val="st1"/>
          <w:rFonts w:ascii="Book Antiqua" w:hAnsi="Book Antiqua" w:cs="Arial"/>
          <w:color w:val="000000" w:themeColor="text1"/>
          <w:sz w:val="18"/>
          <w:szCs w:val="18"/>
        </w:rPr>
        <w:t>Z. z. Zákonník práce v</w:t>
      </w:r>
      <w:r w:rsidRPr="000A7309">
        <w:rPr>
          <w:rStyle w:val="st1"/>
          <w:rFonts w:ascii="Book Antiqua" w:hAnsi="Book Antiqua" w:cs="Arial"/>
          <w:b/>
          <w:color w:val="000000" w:themeColor="text1"/>
          <w:sz w:val="18"/>
          <w:szCs w:val="18"/>
        </w:rPr>
        <w:t xml:space="preserve"> </w:t>
      </w:r>
      <w:r w:rsidRPr="000A7309">
        <w:rPr>
          <w:rStyle w:val="Zvraznenie"/>
          <w:rFonts w:ascii="Book Antiqua" w:hAnsi="Book Antiqua" w:cs="Arial"/>
          <w:b w:val="0"/>
          <w:color w:val="000000" w:themeColor="text1"/>
          <w:sz w:val="18"/>
          <w:szCs w:val="18"/>
        </w:rPr>
        <w:t>znení neskorších predpisov</w:t>
      </w:r>
    </w:p>
  </w:footnote>
  <w:footnote w:id="14">
    <w:p w:rsidR="00057923" w:rsidRDefault="00057923" w:rsidP="00057923">
      <w:pPr>
        <w:pStyle w:val="Textpoznmkypodiarou"/>
        <w:jc w:val="both"/>
      </w:pPr>
      <w:r w:rsidRPr="00EC782F">
        <w:rPr>
          <w:rStyle w:val="Odkaznapoznmkupodiarou"/>
          <w:rFonts w:ascii="Book Antiqua" w:hAnsi="Book Antiqua"/>
          <w:sz w:val="18"/>
          <w:szCs w:val="18"/>
        </w:rPr>
        <w:footnoteRef/>
      </w:r>
      <w:r w:rsidRPr="00EC782F">
        <w:rPr>
          <w:rFonts w:ascii="Book Antiqua" w:hAnsi="Book Antiqua"/>
          <w:sz w:val="18"/>
          <w:szCs w:val="18"/>
        </w:rPr>
        <w:t xml:space="preserve"> V prípade, že osoba začne poberať starobný dôchodok, resp. predčasný starobný dôchodok z II. piliera automaticky stráca status osoby zúčastnenej na starobnom dôchodkovom sporení a teda v prípade opätovného vzniku poistenia nie je umožnené aby časť jej odvodov odchádzala znovu do II. piliera.  V prípade podielu na prebytku z výnosov z umiestnenia prostriedkov technických rezerv je umožnené aby bol vyplatený aj zvýšením mesačnej sumy vyplácaného dôchodku avšak všetky poisťovne ho v súčasnosti vyplácajú jednorazovo. </w:t>
      </w:r>
    </w:p>
  </w:footnote>
  <w:footnote w:id="15">
    <w:p w:rsidR="00057923" w:rsidRDefault="00057923" w:rsidP="00057923">
      <w:pPr>
        <w:pStyle w:val="Textpoznmkypodiarou"/>
        <w:jc w:val="both"/>
      </w:pPr>
      <w:r w:rsidRPr="00EC782F">
        <w:rPr>
          <w:rStyle w:val="Odkaznapoznmkupodiarou"/>
          <w:rFonts w:ascii="Book Antiqua" w:hAnsi="Book Antiqua"/>
          <w:sz w:val="18"/>
          <w:szCs w:val="18"/>
        </w:rPr>
        <w:footnoteRef/>
      </w:r>
      <w:r w:rsidRPr="00EC782F">
        <w:rPr>
          <w:rFonts w:ascii="Book Antiqua" w:hAnsi="Book Antiqua"/>
          <w:sz w:val="18"/>
          <w:szCs w:val="18"/>
        </w:rPr>
        <w:t xml:space="preserve"> </w:t>
      </w:r>
      <w:r w:rsidRPr="006705BC">
        <w:rPr>
          <w:rFonts w:ascii="Book Antiqua" w:hAnsi="Book Antiqua"/>
          <w:sz w:val="18"/>
          <w:szCs w:val="18"/>
        </w:rPr>
        <w:t>Súčasťou zákona č. 109/2018 Z. z.,</w:t>
      </w:r>
      <w:r w:rsidRPr="00EC782F">
        <w:rPr>
          <w:rFonts w:ascii="Book Antiqua" w:hAnsi="Book Antiqua"/>
          <w:sz w:val="18"/>
          <w:szCs w:val="18"/>
        </w:rPr>
        <w:t xml:space="preserve"> </w:t>
      </w:r>
      <w:r w:rsidRPr="006705BC">
        <w:rPr>
          <w:rFonts w:ascii="Book Antiqua" w:hAnsi="Book Antiqua"/>
          <w:sz w:val="18"/>
          <w:szCs w:val="18"/>
        </w:rPr>
        <w:t>ktorým sa mení a dopĺňa zákon o DDS (ďalej len „novela zákona č. 650/2004 Z. z.“) je aj úprava veku, ktorý účastník musí dosiahnuť v prípade, že chce čerpať doplnkový starobný dôchodok a ešte nezačal poberať pr</w:t>
      </w:r>
      <w:r w:rsidRPr="00BB0FF6">
        <w:rPr>
          <w:rFonts w:ascii="Book Antiqua" w:hAnsi="Book Antiqua"/>
          <w:sz w:val="18"/>
          <w:szCs w:val="18"/>
        </w:rPr>
        <w:t>edčasný starobný, resp. starobný dôchodok z I. piliera. Tento vek sa stanovuje na vek potrebný na nárok na starobný dôchodok podľa zákona o sociálnom poistení, ktorý je platný v príslušn</w:t>
      </w:r>
      <w:r w:rsidRPr="00217C33">
        <w:rPr>
          <w:rFonts w:ascii="Book Antiqua" w:hAnsi="Book Antiqua"/>
          <w:sz w:val="18"/>
          <w:szCs w:val="18"/>
        </w:rPr>
        <w:t>om kalendárnom roku.</w:t>
      </w:r>
    </w:p>
  </w:footnote>
  <w:footnote w:id="16">
    <w:p w:rsidR="00057923" w:rsidRDefault="00057923" w:rsidP="00057923">
      <w:pPr>
        <w:pStyle w:val="Textpoznmkypodiarou"/>
        <w:jc w:val="both"/>
      </w:pPr>
      <w:r w:rsidRPr="00EC782F">
        <w:rPr>
          <w:rStyle w:val="Odkaznapoznmkupodiarou"/>
          <w:rFonts w:ascii="Book Antiqua" w:hAnsi="Book Antiqua"/>
          <w:sz w:val="18"/>
          <w:szCs w:val="18"/>
        </w:rPr>
        <w:footnoteRef/>
      </w:r>
      <w:r w:rsidRPr="00EC782F">
        <w:rPr>
          <w:rFonts w:ascii="Book Antiqua" w:hAnsi="Book Antiqua"/>
          <w:sz w:val="18"/>
          <w:szCs w:val="18"/>
        </w:rPr>
        <w:t xml:space="preserve"> </w:t>
      </w:r>
      <w:r w:rsidRPr="006705BC">
        <w:rPr>
          <w:rFonts w:ascii="Book Antiqua" w:hAnsi="Book Antiqua"/>
          <w:sz w:val="18"/>
          <w:szCs w:val="18"/>
        </w:rPr>
        <w:t>Novela zákona č. 650/2004 Z. z. má delenú účinn</w:t>
      </w:r>
      <w:r w:rsidRPr="00BB0FF6">
        <w:rPr>
          <w:rFonts w:ascii="Book Antiqua" w:hAnsi="Book Antiqua"/>
          <w:sz w:val="18"/>
          <w:szCs w:val="18"/>
        </w:rPr>
        <w:t>osť. Účinnosť ustanovení, ktoré zavadzajú okrem iného aj povinnosť doplnkovej dôchodkovej spoločnosti a dôchodkovej správcovskej spoločnosti poskytovať MPSVR SR, ako aj Ministerstvu financií SR údaje o ich klientoch vrátane osobných údajov je účinná od 1. mája 2018.</w:t>
      </w:r>
    </w:p>
  </w:footnote>
  <w:footnote w:id="17">
    <w:p w:rsidR="00057923" w:rsidRDefault="00057923" w:rsidP="00057923">
      <w:pPr>
        <w:spacing w:after="0" w:line="240" w:lineRule="auto"/>
        <w:jc w:val="both"/>
      </w:pPr>
      <w:r w:rsidRPr="00EC782F">
        <w:rPr>
          <w:rStyle w:val="Odkaznapoznmkupodiarou"/>
          <w:rFonts w:ascii="Book Antiqua" w:hAnsi="Book Antiqua"/>
          <w:sz w:val="18"/>
          <w:szCs w:val="18"/>
        </w:rPr>
        <w:footnoteRef/>
      </w:r>
      <w:r w:rsidRPr="00EC782F">
        <w:rPr>
          <w:rFonts w:ascii="Book Antiqua" w:hAnsi="Book Antiqua"/>
          <w:sz w:val="18"/>
          <w:szCs w:val="18"/>
        </w:rPr>
        <w:t xml:space="preserve"> </w:t>
      </w:r>
      <w:r w:rsidRPr="006705BC">
        <w:rPr>
          <w:rFonts w:ascii="Book Antiqua" w:hAnsi="Book Antiqua"/>
          <w:sz w:val="18"/>
          <w:szCs w:val="18"/>
        </w:rPr>
        <w:t>Pre informáciu a vychádzajúc z vyjadrení ÚVZ SR uvádzame, že databáza ktorou disponuje ÚVZ SR má v súčasnosti iný účel než evidenciu aktuálneho stavu rizikových prác v jednotlivých podnikoch. Účelom je získať informácie o celkových trendoch v </w:t>
      </w:r>
      <w:r w:rsidRPr="00BB0FF6">
        <w:rPr>
          <w:rFonts w:ascii="Book Antiqua" w:hAnsi="Book Antiqua"/>
          <w:sz w:val="18"/>
          <w:szCs w:val="18"/>
        </w:rPr>
        <w:t>oblasti rizikových prác v SR, nie o konkrétnych podnikoch v aktuálnom čase. Zároveň si dovolíme upozorniť na skutočnosť, že údaje z jednotlivých RÚVZ sú zasielané do centrálneho registra</w:t>
      </w:r>
      <w:r w:rsidRPr="00217C33">
        <w:rPr>
          <w:rFonts w:ascii="Book Antiqua" w:hAnsi="Book Antiqua"/>
          <w:sz w:val="18"/>
          <w:szCs w:val="18"/>
        </w:rPr>
        <w:t xml:space="preserve"> rizikových prác len dvakrát ročne.</w:t>
      </w:r>
      <w:r w:rsidRPr="00EC782F">
        <w:rPr>
          <w:rFonts w:ascii="Book Antiqua" w:hAnsi="Book Antiqua"/>
          <w:sz w:val="18"/>
          <w:szCs w:val="18"/>
        </w:rPr>
        <w:t xml:space="preserve">  </w:t>
      </w:r>
    </w:p>
  </w:footnote>
  <w:footnote w:id="18">
    <w:p w:rsidR="00057923" w:rsidRDefault="00057923" w:rsidP="00057923">
      <w:pPr>
        <w:pStyle w:val="Textpoznmkypodiarou"/>
        <w:jc w:val="both"/>
      </w:pPr>
      <w:r w:rsidRPr="00EC782F">
        <w:rPr>
          <w:rStyle w:val="Odkaznapoznmkupodiarou"/>
          <w:rFonts w:ascii="Book Antiqua" w:hAnsi="Book Antiqua"/>
          <w:sz w:val="18"/>
          <w:szCs w:val="18"/>
        </w:rPr>
        <w:footnoteRef/>
      </w:r>
      <w:r w:rsidRPr="00EC782F">
        <w:rPr>
          <w:rFonts w:ascii="Book Antiqua" w:hAnsi="Book Antiqua"/>
          <w:sz w:val="18"/>
          <w:szCs w:val="18"/>
        </w:rPr>
        <w:t xml:space="preserve"> </w:t>
      </w:r>
      <w:r w:rsidRPr="006705BC">
        <w:rPr>
          <w:rFonts w:ascii="Book Antiqua" w:hAnsi="Book Antiqua"/>
          <w:sz w:val="18"/>
          <w:szCs w:val="18"/>
        </w:rPr>
        <w:t xml:space="preserve">Zdroj: Správa o stave ochrany </w:t>
      </w:r>
      <w:r w:rsidRPr="00BB0FF6">
        <w:rPr>
          <w:rFonts w:ascii="Book Antiqua" w:hAnsi="Book Antiqua"/>
          <w:sz w:val="18"/>
          <w:szCs w:val="18"/>
        </w:rPr>
        <w:t xml:space="preserve">práce a o činnosti orgánov štátnej správy v oblasti inšpekcie práce v roku 2016. </w:t>
      </w:r>
      <w:hyperlink r:id="rId2" w:history="1">
        <w:r w:rsidRPr="00EC782F">
          <w:rPr>
            <w:rStyle w:val="Hypertextovprepojenie"/>
            <w:rFonts w:ascii="Book Antiqua" w:hAnsi="Book Antiqua"/>
            <w:sz w:val="18"/>
            <w:szCs w:val="18"/>
          </w:rPr>
          <w:t>http://www.rokovania.sk/Rokovanie.aspx/BodRokovaniaDetail?idMaterial=26681</w:t>
        </w:r>
      </w:hyperlink>
      <w:r w:rsidRPr="00EC782F">
        <w:rPr>
          <w:rFonts w:ascii="Book Antiqua" w:hAnsi="Book Antiqua"/>
          <w:sz w:val="18"/>
          <w:szCs w:val="18"/>
        </w:rPr>
        <w:t xml:space="preserve"> .</w:t>
      </w:r>
    </w:p>
  </w:footnote>
  <w:footnote w:id="19">
    <w:p w:rsidR="00057923" w:rsidRDefault="00057923" w:rsidP="00057923">
      <w:pPr>
        <w:pStyle w:val="Textpoznmkypodiarou"/>
        <w:jc w:val="both"/>
      </w:pPr>
      <w:r w:rsidRPr="00EC782F">
        <w:rPr>
          <w:rStyle w:val="Odkaznapoznmkupodiarou"/>
          <w:rFonts w:ascii="Book Antiqua" w:hAnsi="Book Antiqua"/>
          <w:sz w:val="18"/>
          <w:szCs w:val="18"/>
        </w:rPr>
        <w:footnoteRef/>
      </w:r>
      <w:r w:rsidRPr="00EC782F">
        <w:rPr>
          <w:rFonts w:ascii="Book Antiqua" w:hAnsi="Book Antiqua"/>
          <w:sz w:val="18"/>
          <w:szCs w:val="18"/>
        </w:rPr>
        <w:t xml:space="preserve"> </w:t>
      </w:r>
      <w:r w:rsidRPr="006705BC">
        <w:rPr>
          <w:rFonts w:ascii="Book Antiqua" w:hAnsi="Book Antiqua"/>
          <w:sz w:val="18"/>
          <w:szCs w:val="18"/>
        </w:rPr>
        <w:t xml:space="preserve">V prípade dát od doplnkových dôchodkových spoločností evidujeme počty účastníckych zmlúv a nie počty účastníkov ako jednotlivcov z dôvodu, že v súčasnosti nemáme k jednotlivým účastníckym zmluvám uvedené rodné čísla. Nepredpokladáme však, že výrazný počet </w:t>
      </w:r>
      <w:r w:rsidRPr="00BB0FF6">
        <w:rPr>
          <w:rFonts w:ascii="Book Antiqua" w:hAnsi="Book Antiqua"/>
          <w:sz w:val="18"/>
          <w:szCs w:val="18"/>
        </w:rPr>
        <w:t xml:space="preserve">účastníkov má uzatvorené dve alebo viac účastníckych zmlúv a preto budeme v ďalšom texte hovoriť stále o počtoch účastníkov. </w:t>
      </w:r>
    </w:p>
  </w:footnote>
  <w:footnote w:id="20">
    <w:p w:rsidR="00057923" w:rsidRDefault="00057923" w:rsidP="00057923">
      <w:pPr>
        <w:pStyle w:val="Textpoznmkypodiarou"/>
        <w:jc w:val="both"/>
      </w:pPr>
      <w:r w:rsidRPr="00EC782F">
        <w:rPr>
          <w:rStyle w:val="Odkaznapoznmkupodiarou"/>
          <w:rFonts w:ascii="Book Antiqua" w:hAnsi="Book Antiqua"/>
          <w:sz w:val="18"/>
          <w:szCs w:val="18"/>
        </w:rPr>
        <w:footnoteRef/>
      </w:r>
      <w:r w:rsidRPr="00EC782F">
        <w:rPr>
          <w:rFonts w:ascii="Book Antiqua" w:hAnsi="Book Antiqua"/>
          <w:sz w:val="18"/>
          <w:szCs w:val="18"/>
        </w:rPr>
        <w:t xml:space="preserve"> </w:t>
      </w:r>
      <w:r w:rsidRPr="006705BC">
        <w:rPr>
          <w:rFonts w:ascii="Book Antiqua" w:hAnsi="Book Antiqua"/>
          <w:sz w:val="18"/>
          <w:szCs w:val="18"/>
        </w:rPr>
        <w:t>Uvedené percento je odhadnuté na základe kontroly 164 zamestnávateľov, ktorí od septembra 2017 do októbra 2017 zamestnávali 7 85</w:t>
      </w:r>
      <w:r w:rsidRPr="00BB0FF6">
        <w:rPr>
          <w:rFonts w:ascii="Book Antiqua" w:hAnsi="Book Antiqua"/>
          <w:sz w:val="18"/>
          <w:szCs w:val="18"/>
        </w:rPr>
        <w:t xml:space="preserve">5 </w:t>
      </w:r>
      <w:proofErr w:type="spellStart"/>
      <w:r w:rsidRPr="00BB0FF6">
        <w:rPr>
          <w:rFonts w:ascii="Book Antiqua" w:hAnsi="Book Antiqua"/>
          <w:sz w:val="18"/>
          <w:szCs w:val="18"/>
        </w:rPr>
        <w:t>rizikárov</w:t>
      </w:r>
      <w:proofErr w:type="spellEnd"/>
      <w:r w:rsidRPr="00BB0FF6">
        <w:rPr>
          <w:rFonts w:ascii="Book Antiqua" w:hAnsi="Book Antiqua"/>
          <w:sz w:val="18"/>
          <w:szCs w:val="18"/>
        </w:rPr>
        <w:t>.</w:t>
      </w:r>
    </w:p>
  </w:footnote>
  <w:footnote w:id="21">
    <w:p w:rsidR="00057923" w:rsidRPr="006705BC" w:rsidRDefault="00057923" w:rsidP="00057923">
      <w:pPr>
        <w:pStyle w:val="Textpoznmkypodiarou"/>
        <w:jc w:val="both"/>
        <w:rPr>
          <w:rFonts w:ascii="Book Antiqua" w:hAnsi="Book Antiqua"/>
          <w:sz w:val="18"/>
          <w:szCs w:val="18"/>
        </w:rPr>
      </w:pPr>
      <w:r w:rsidRPr="006705BC">
        <w:rPr>
          <w:rFonts w:ascii="Book Antiqua" w:hAnsi="Book Antiqua"/>
          <w:sz w:val="18"/>
          <w:szCs w:val="18"/>
          <w:vertAlign w:val="superscript"/>
        </w:rPr>
        <w:footnoteRef/>
      </w:r>
      <w:r w:rsidRPr="00BB0FF6">
        <w:rPr>
          <w:rFonts w:ascii="Book Antiqua" w:hAnsi="Book Antiqua"/>
          <w:sz w:val="18"/>
          <w:szCs w:val="18"/>
        </w:rPr>
        <w:t xml:space="preserve"> Podľa zákona č. 595/2003 o dani z príjmov v znení neskorších predpisov a ktorým sa menia a dopĺňajú niektoré zákony (ďalej len „zákon o dani z príjmov“) sú daňovými výdavkami a</w:t>
      </w:r>
      <w:r w:rsidRPr="00217C33">
        <w:rPr>
          <w:rFonts w:ascii="Book Antiqua" w:hAnsi="Book Antiqua"/>
          <w:sz w:val="18"/>
          <w:szCs w:val="18"/>
        </w:rPr>
        <w:t>j príspevky na DDS, ktoré platí zamestnávateľ za zamestnanca na DDS a na doplnkové dôchodkové sporenie v zahraničí rovnakého alebo porovnateľného druhu; tieto príspevky možno uznať v úhrne najviac vo výške 6 % zo zúčtovanej mzdy, náhrady mzdy a odmeny zamestnanca, ktorý je účastníkom doplnkov</w:t>
      </w:r>
      <w:r w:rsidRPr="002D4632">
        <w:rPr>
          <w:rFonts w:ascii="Book Antiqua" w:hAnsi="Book Antiqua"/>
          <w:sz w:val="18"/>
          <w:szCs w:val="18"/>
        </w:rPr>
        <w:t xml:space="preserve">ého dôchodkového sporenia. Zo 164 kontrolovaných zamestnávateľov iba jeden zamestnávateľ, ktorý v čase kontroly zamestnával 40 </w:t>
      </w:r>
      <w:proofErr w:type="spellStart"/>
      <w:r w:rsidRPr="002D4632">
        <w:rPr>
          <w:rFonts w:ascii="Book Antiqua" w:hAnsi="Book Antiqua"/>
          <w:sz w:val="18"/>
          <w:szCs w:val="18"/>
        </w:rPr>
        <w:t>rizikárov</w:t>
      </w:r>
      <w:proofErr w:type="spellEnd"/>
      <w:r w:rsidRPr="002D4632">
        <w:rPr>
          <w:rFonts w:ascii="Book Antiqua" w:hAnsi="Book Antiqua"/>
          <w:sz w:val="18"/>
          <w:szCs w:val="18"/>
        </w:rPr>
        <w:t>, za nich platil prí</w:t>
      </w:r>
      <w:r w:rsidRPr="006705BC">
        <w:rPr>
          <w:rFonts w:ascii="Book Antiqua" w:hAnsi="Book Antiqua"/>
          <w:sz w:val="18"/>
          <w:szCs w:val="18"/>
        </w:rPr>
        <w:t>spevky na DDS vo výške vyššej ako 6 %, konkrétne vo výške 6,6 %.</w:t>
      </w:r>
    </w:p>
    <w:p w:rsidR="00057923" w:rsidRDefault="00057923" w:rsidP="00057923">
      <w:pPr>
        <w:pStyle w:val="Textpoznmkypodiarou"/>
        <w:jc w:val="both"/>
      </w:pPr>
    </w:p>
  </w:footnote>
  <w:footnote w:id="22">
    <w:p w:rsidR="00057923" w:rsidRDefault="00057923" w:rsidP="00057923">
      <w:pPr>
        <w:pStyle w:val="Textpoznmkypodiarou"/>
      </w:pPr>
      <w:r w:rsidRPr="00EC782F">
        <w:rPr>
          <w:rStyle w:val="Odkaznapoznmkupodiarou"/>
          <w:rFonts w:ascii="Book Antiqua" w:hAnsi="Book Antiqua"/>
          <w:sz w:val="18"/>
          <w:szCs w:val="18"/>
        </w:rPr>
        <w:footnoteRef/>
      </w:r>
      <w:r w:rsidRPr="00EC782F">
        <w:rPr>
          <w:rFonts w:ascii="Book Antiqua" w:hAnsi="Book Antiqua"/>
          <w:sz w:val="18"/>
          <w:szCs w:val="18"/>
        </w:rPr>
        <w:t xml:space="preserve"> </w:t>
      </w:r>
      <w:r w:rsidRPr="006705BC">
        <w:rPr>
          <w:rFonts w:ascii="Book Antiqua" w:hAnsi="Book Antiqua"/>
          <w:sz w:val="18"/>
          <w:szCs w:val="18"/>
        </w:rPr>
        <w:t>Dlhodobý cieľ Európskej centrálnej banky.</w:t>
      </w:r>
    </w:p>
  </w:footnote>
  <w:footnote w:id="23">
    <w:p w:rsidR="00057923" w:rsidRDefault="00057923" w:rsidP="00057923">
      <w:pPr>
        <w:spacing w:after="0" w:line="240" w:lineRule="auto"/>
        <w:jc w:val="both"/>
      </w:pPr>
      <w:r w:rsidRPr="00EC782F">
        <w:rPr>
          <w:rStyle w:val="Odkaznapoznmkupodiarou"/>
          <w:rFonts w:ascii="Book Antiqua" w:hAnsi="Book Antiqua"/>
          <w:sz w:val="18"/>
          <w:szCs w:val="18"/>
        </w:rPr>
        <w:footnoteRef/>
      </w:r>
      <w:r w:rsidRPr="00EC782F">
        <w:rPr>
          <w:rFonts w:ascii="Book Antiqua" w:hAnsi="Book Antiqua"/>
          <w:sz w:val="18"/>
          <w:szCs w:val="18"/>
        </w:rPr>
        <w:t xml:space="preserve"> </w:t>
      </w:r>
      <w:r w:rsidRPr="006705BC">
        <w:rPr>
          <w:rFonts w:ascii="Book Antiqua" w:hAnsi="Book Antiqua"/>
          <w:sz w:val="18"/>
          <w:szCs w:val="18"/>
        </w:rPr>
        <w:t>Obdobie počas kt</w:t>
      </w:r>
      <w:r w:rsidRPr="00BB0FF6">
        <w:rPr>
          <w:rFonts w:ascii="Book Antiqua" w:hAnsi="Book Antiqua"/>
          <w:sz w:val="18"/>
          <w:szCs w:val="18"/>
        </w:rPr>
        <w:t xml:space="preserve">orého zamestnávateľ odvádza za </w:t>
      </w:r>
      <w:proofErr w:type="spellStart"/>
      <w:r w:rsidRPr="00BB0FF6">
        <w:rPr>
          <w:rFonts w:ascii="Book Antiqua" w:hAnsi="Book Antiqua"/>
          <w:sz w:val="18"/>
          <w:szCs w:val="18"/>
        </w:rPr>
        <w:t>rizikára</w:t>
      </w:r>
      <w:proofErr w:type="spellEnd"/>
      <w:r w:rsidRPr="00BB0FF6">
        <w:rPr>
          <w:rFonts w:ascii="Book Antiqua" w:hAnsi="Book Antiqua"/>
          <w:sz w:val="18"/>
          <w:szCs w:val="18"/>
        </w:rPr>
        <w:t xml:space="preserve"> povinné príspevky sa môže prerušiť, môže si sporiť na začiatku kariéry, prípadne môže byť preradený na inú prácu, ktorá nespĺňa definíciu rizikovej prá</w:t>
      </w:r>
      <w:r w:rsidRPr="00217C33">
        <w:rPr>
          <w:rFonts w:ascii="Book Antiqua" w:hAnsi="Book Antiqua"/>
          <w:sz w:val="18"/>
          <w:szCs w:val="18"/>
        </w:rPr>
        <w:t xml:space="preserve">ce. Na ilustráciu uvádzame dve možné </w:t>
      </w:r>
      <w:r w:rsidRPr="00EC782F">
        <w:rPr>
          <w:rFonts w:ascii="Book Antiqua" w:hAnsi="Book Antiqua"/>
          <w:sz w:val="18"/>
          <w:szCs w:val="18"/>
        </w:rPr>
        <w:t xml:space="preserve">situácie, v ktorých účastník počas kariéry pracoval 10 rokov ako </w:t>
      </w:r>
      <w:proofErr w:type="spellStart"/>
      <w:r w:rsidRPr="00EC782F">
        <w:rPr>
          <w:rFonts w:ascii="Book Antiqua" w:hAnsi="Book Antiqua"/>
          <w:sz w:val="18"/>
          <w:szCs w:val="18"/>
        </w:rPr>
        <w:t>rizikár</w:t>
      </w:r>
      <w:proofErr w:type="spellEnd"/>
      <w:r w:rsidRPr="00EC782F">
        <w:rPr>
          <w:rFonts w:ascii="Book Antiqua" w:hAnsi="Book Antiqua"/>
          <w:sz w:val="18"/>
          <w:szCs w:val="18"/>
        </w:rPr>
        <w:t xml:space="preserve">, v prvom prípade na začiatku kariéry (v rokoch 2014 - 2023) a v druhom prípade na konci svojej kariéry (v rokoch 2034 - 2043). Pri vykonávaní rizikovej práce na konci kariéry je nasporená suma vyššia o 85%. Uvedený výrazný rozdiel spôsobuje odhad rastu priemernej mzdy na úrovni 4,5% a nízky odhadovaný výnos vo výške 1,86%, ktorým sa zhodnocuje nasporená suma účastníka. </w:t>
      </w:r>
    </w:p>
  </w:footnote>
  <w:footnote w:id="24">
    <w:p w:rsidR="00057923" w:rsidRDefault="00057923" w:rsidP="00057923">
      <w:pPr>
        <w:pStyle w:val="Textpoznmkypodiarou"/>
      </w:pPr>
      <w:r w:rsidRPr="006705BC">
        <w:rPr>
          <w:rStyle w:val="Odkaznapoznmkupodiarou"/>
          <w:rFonts w:ascii="Book Antiqua" w:hAnsi="Book Antiqua"/>
          <w:sz w:val="18"/>
          <w:szCs w:val="18"/>
        </w:rPr>
        <w:footnoteRef/>
      </w:r>
      <w:r w:rsidRPr="00EC782F">
        <w:rPr>
          <w:rFonts w:ascii="Book Antiqua" w:hAnsi="Book Antiqua"/>
          <w:sz w:val="18"/>
          <w:szCs w:val="18"/>
        </w:rPr>
        <w:t xml:space="preserve"> </w:t>
      </w:r>
      <w:r w:rsidRPr="006705BC">
        <w:rPr>
          <w:rFonts w:ascii="Book Antiqua" w:hAnsi="Book Antiqua"/>
          <w:sz w:val="18"/>
          <w:szCs w:val="18"/>
        </w:rPr>
        <w:t xml:space="preserve">Odhad výšky mzdy </w:t>
      </w:r>
      <w:proofErr w:type="spellStart"/>
      <w:r w:rsidRPr="006705BC">
        <w:rPr>
          <w:rFonts w:ascii="Book Antiqua" w:hAnsi="Book Antiqua"/>
          <w:sz w:val="18"/>
          <w:szCs w:val="18"/>
        </w:rPr>
        <w:t>rizikárov</w:t>
      </w:r>
      <w:proofErr w:type="spellEnd"/>
      <w:r w:rsidRPr="006705BC">
        <w:rPr>
          <w:rFonts w:ascii="Book Antiqua" w:hAnsi="Book Antiqua"/>
          <w:sz w:val="18"/>
          <w:szCs w:val="18"/>
        </w:rPr>
        <w:t xml:space="preserve"> uvádzame v časti 4.2.4.</w:t>
      </w:r>
    </w:p>
  </w:footnote>
  <w:footnote w:id="25">
    <w:p w:rsidR="00057923" w:rsidRPr="00EC782F" w:rsidRDefault="00057923" w:rsidP="00057923">
      <w:pPr>
        <w:spacing w:line="240" w:lineRule="auto"/>
        <w:jc w:val="both"/>
        <w:rPr>
          <w:rFonts w:ascii="Book Antiqua" w:hAnsi="Book Antiqua"/>
          <w:sz w:val="18"/>
          <w:szCs w:val="18"/>
        </w:rPr>
      </w:pPr>
      <w:r w:rsidRPr="006705BC">
        <w:rPr>
          <w:rStyle w:val="Odkaznapoznmkupodiarou"/>
          <w:rFonts w:ascii="Book Antiqua" w:hAnsi="Book Antiqua"/>
          <w:sz w:val="18"/>
          <w:szCs w:val="18"/>
        </w:rPr>
        <w:footnoteRef/>
      </w:r>
      <w:r w:rsidRPr="006705BC">
        <w:rPr>
          <w:rFonts w:ascii="Book Antiqua" w:hAnsi="Book Antiqua"/>
          <w:sz w:val="18"/>
          <w:szCs w:val="18"/>
        </w:rPr>
        <w:t xml:space="preserve"> Právna</w:t>
      </w:r>
      <w:r w:rsidRPr="00BB0FF6">
        <w:rPr>
          <w:rFonts w:ascii="Book Antiqua" w:hAnsi="Book Antiqua"/>
          <w:sz w:val="18"/>
          <w:szCs w:val="18"/>
        </w:rPr>
        <w:t xml:space="preserve"> úprava zákona o DDS </w:t>
      </w:r>
      <w:r w:rsidRPr="00BB0FF6">
        <w:rPr>
          <w:rFonts w:ascii="Book Antiqua" w:hAnsi="Book Antiqua"/>
          <w:b/>
          <w:bCs/>
          <w:sz w:val="18"/>
          <w:szCs w:val="18"/>
        </w:rPr>
        <w:t>účinná pred 1. januárom 2010</w:t>
      </w:r>
      <w:r w:rsidRPr="00BB0FF6">
        <w:rPr>
          <w:rFonts w:ascii="Book Antiqua" w:hAnsi="Book Antiqua"/>
          <w:sz w:val="18"/>
          <w:szCs w:val="18"/>
        </w:rPr>
        <w:t xml:space="preserve"> ponechávala výšku odstupného na dávkový plán, pričom stanovovala </w:t>
      </w:r>
      <w:r w:rsidRPr="00217C33">
        <w:rPr>
          <w:rFonts w:ascii="Book Antiqua" w:hAnsi="Book Antiqua"/>
          <w:b/>
          <w:bCs/>
          <w:sz w:val="18"/>
          <w:szCs w:val="18"/>
        </w:rPr>
        <w:t>spodnú hranicu odstupného</w:t>
      </w:r>
      <w:r w:rsidRPr="00217C33">
        <w:rPr>
          <w:rFonts w:ascii="Book Antiqua" w:hAnsi="Book Antiqua"/>
          <w:sz w:val="18"/>
          <w:szCs w:val="18"/>
        </w:rPr>
        <w:t xml:space="preserve">, ktorú musela doplnková dôchodková spoločnosť účastníkovi vyplatiť, a to na </w:t>
      </w:r>
      <w:r w:rsidRPr="00EC782F">
        <w:rPr>
          <w:rFonts w:ascii="Book Antiqua" w:hAnsi="Book Antiqua"/>
          <w:b/>
          <w:bCs/>
          <w:sz w:val="18"/>
          <w:szCs w:val="18"/>
        </w:rPr>
        <w:t>úrovni 80 % z nasporenej sumy</w:t>
      </w:r>
      <w:r w:rsidRPr="00EC782F">
        <w:rPr>
          <w:rFonts w:ascii="Book Antiqua" w:hAnsi="Book Antiqua"/>
          <w:sz w:val="18"/>
          <w:szCs w:val="18"/>
        </w:rPr>
        <w:t xml:space="preserve">. S </w:t>
      </w:r>
      <w:r w:rsidRPr="00EC782F">
        <w:rPr>
          <w:rFonts w:ascii="Book Antiqua" w:hAnsi="Book Antiqua"/>
          <w:b/>
          <w:bCs/>
          <w:sz w:val="18"/>
          <w:szCs w:val="18"/>
        </w:rPr>
        <w:t>účinnosťou od 1. januára 2010</w:t>
      </w:r>
      <w:r w:rsidRPr="00EC782F">
        <w:rPr>
          <w:rFonts w:ascii="Book Antiqua" w:hAnsi="Book Antiqua"/>
          <w:sz w:val="18"/>
          <w:szCs w:val="18"/>
        </w:rPr>
        <w:t xml:space="preserve"> zákon o DDS jasne určil že účastníkovi sa vyplatí odstupné v sume zodpovedajúcej len 80 % aktuálnej hodnoty osobného účtu účastníka a zo zvyšných 20 % úspor sa 15 % považuje za kladný výnos príslušného príspevkového doplnkového dôchodkového fondu (čiže zostáva v prospech účastníkov, ktorí si sporia v príslušnom fonde) a 5 % patrí doplnkovej dôchodkovej spoločnosti ako nový druh odplaty. </w:t>
      </w:r>
    </w:p>
    <w:p w:rsidR="00057923" w:rsidRDefault="00057923" w:rsidP="00057923">
      <w:pPr>
        <w:spacing w:line="240" w:lineRule="auto"/>
        <w:jc w:val="both"/>
      </w:pPr>
    </w:p>
  </w:footnote>
  <w:footnote w:id="26">
    <w:p w:rsidR="00057923" w:rsidRPr="006705BC" w:rsidRDefault="00057923" w:rsidP="00057923">
      <w:pPr>
        <w:pStyle w:val="Odsekzoznamu"/>
        <w:spacing w:after="0" w:line="240" w:lineRule="auto"/>
        <w:ind w:left="0"/>
        <w:jc w:val="both"/>
        <w:rPr>
          <w:rFonts w:ascii="Book Antiqua" w:hAnsi="Book Antiqua"/>
          <w:sz w:val="18"/>
          <w:szCs w:val="18"/>
        </w:rPr>
      </w:pPr>
      <w:r w:rsidRPr="006705BC">
        <w:rPr>
          <w:rStyle w:val="Odkaznapoznmkupodiarou"/>
          <w:rFonts w:ascii="Book Antiqua" w:hAnsi="Book Antiqua"/>
          <w:sz w:val="18"/>
          <w:szCs w:val="18"/>
        </w:rPr>
        <w:footnoteRef/>
      </w:r>
      <w:r w:rsidRPr="00BB0FF6">
        <w:rPr>
          <w:rFonts w:ascii="Book Antiqua" w:hAnsi="Book Antiqua"/>
          <w:sz w:val="18"/>
          <w:szCs w:val="18"/>
        </w:rPr>
        <w:t xml:space="preserve"> Keďže však vzhľadom na tento </w:t>
      </w:r>
      <w:proofErr w:type="spellStart"/>
      <w:r w:rsidRPr="00BB0FF6">
        <w:rPr>
          <w:rFonts w:ascii="Book Antiqua" w:hAnsi="Book Antiqua"/>
          <w:sz w:val="18"/>
          <w:szCs w:val="18"/>
        </w:rPr>
        <w:t>dataset</w:t>
      </w:r>
      <w:proofErr w:type="spellEnd"/>
      <w:r w:rsidRPr="00BB0FF6">
        <w:rPr>
          <w:rFonts w:ascii="Book Antiqua" w:hAnsi="Book Antiqua"/>
          <w:sz w:val="18"/>
          <w:szCs w:val="18"/>
        </w:rPr>
        <w:t xml:space="preserve"> považujeme za </w:t>
      </w:r>
      <w:proofErr w:type="spellStart"/>
      <w:r w:rsidRPr="00BB0FF6">
        <w:rPr>
          <w:rFonts w:ascii="Book Antiqua" w:hAnsi="Book Antiqua"/>
          <w:sz w:val="18"/>
          <w:szCs w:val="18"/>
        </w:rPr>
        <w:t>rizikára</w:t>
      </w:r>
      <w:proofErr w:type="spellEnd"/>
      <w:r w:rsidRPr="00BB0FF6">
        <w:rPr>
          <w:rFonts w:ascii="Book Antiqua" w:hAnsi="Book Antiqua"/>
          <w:sz w:val="18"/>
          <w:szCs w:val="18"/>
        </w:rPr>
        <w:t xml:space="preserve"> všetky osoby, za ktoré bol zaplatený príspevok ako za </w:t>
      </w:r>
      <w:proofErr w:type="spellStart"/>
      <w:r w:rsidRPr="00BB0FF6">
        <w:rPr>
          <w:rFonts w:ascii="Book Antiqua" w:hAnsi="Book Antiqua"/>
          <w:sz w:val="18"/>
          <w:szCs w:val="18"/>
        </w:rPr>
        <w:t>rizikárov</w:t>
      </w:r>
      <w:proofErr w:type="spellEnd"/>
      <w:r w:rsidRPr="00BB0FF6">
        <w:rPr>
          <w:rFonts w:ascii="Book Antiqua" w:hAnsi="Book Antiqua"/>
          <w:sz w:val="18"/>
          <w:szCs w:val="18"/>
        </w:rPr>
        <w:t xml:space="preserve"> aspoň v jednom mesiaci je možné, že uvedené náš výsledok skresľuje hlavne kvôli účastníkom, ktorí vykonávali rizikové práce iba pár mesiacov a sú tak zaradení medzi </w:t>
      </w:r>
      <w:proofErr w:type="spellStart"/>
      <w:r w:rsidRPr="00BB0FF6">
        <w:rPr>
          <w:rFonts w:ascii="Book Antiqua" w:hAnsi="Book Antiqua"/>
          <w:sz w:val="18"/>
          <w:szCs w:val="18"/>
        </w:rPr>
        <w:t>rizikárov</w:t>
      </w:r>
      <w:proofErr w:type="spellEnd"/>
      <w:r w:rsidRPr="00BB0FF6">
        <w:rPr>
          <w:rFonts w:ascii="Book Antiqua" w:hAnsi="Book Antiqua"/>
          <w:sz w:val="18"/>
          <w:szCs w:val="18"/>
        </w:rPr>
        <w:t xml:space="preserve">. Na druhej strane </w:t>
      </w:r>
      <w:r w:rsidRPr="00217C33">
        <w:rPr>
          <w:rFonts w:ascii="Book Antiqua" w:hAnsi="Book Antiqua"/>
          <w:sz w:val="18"/>
          <w:szCs w:val="18"/>
        </w:rPr>
        <w:t xml:space="preserve">evidencia platenia príspevkov ako za </w:t>
      </w:r>
      <w:proofErr w:type="spellStart"/>
      <w:r w:rsidRPr="002D4632">
        <w:rPr>
          <w:rFonts w:ascii="Book Antiqua" w:hAnsi="Book Antiqua"/>
          <w:sz w:val="18"/>
          <w:szCs w:val="18"/>
        </w:rPr>
        <w:t>rizikárov</w:t>
      </w:r>
      <w:proofErr w:type="spellEnd"/>
      <w:r w:rsidRPr="002D4632">
        <w:rPr>
          <w:rFonts w:ascii="Book Antiqua" w:hAnsi="Book Antiqua"/>
          <w:sz w:val="18"/>
          <w:szCs w:val="18"/>
        </w:rPr>
        <w:t xml:space="preserve"> bola zavedená až v roku 2010 teda medzi </w:t>
      </w:r>
      <w:proofErr w:type="spellStart"/>
      <w:r w:rsidRPr="002D4632">
        <w:rPr>
          <w:rFonts w:ascii="Book Antiqua" w:hAnsi="Book Antiqua"/>
          <w:sz w:val="18"/>
          <w:szCs w:val="18"/>
        </w:rPr>
        <w:t>nerizikármi</w:t>
      </w:r>
      <w:proofErr w:type="spellEnd"/>
      <w:r w:rsidRPr="002D4632">
        <w:rPr>
          <w:rFonts w:ascii="Book Antiqua" w:hAnsi="Book Antiqua"/>
          <w:sz w:val="18"/>
          <w:szCs w:val="18"/>
        </w:rPr>
        <w:t xml:space="preserve"> môžu byť zaradené osoby, ktoré rizikovú prácu vykonávali v minulosti (t. j. pred rokom 2010), </w:t>
      </w:r>
      <w:r w:rsidRPr="006705BC">
        <w:rPr>
          <w:rFonts w:ascii="Book Antiqua" w:hAnsi="Book Antiqua"/>
          <w:sz w:val="18"/>
          <w:szCs w:val="18"/>
        </w:rPr>
        <w:t>a teda o tom nemá doplnková dôchodková spoločnosť žiadnu informáciu.</w:t>
      </w:r>
    </w:p>
    <w:p w:rsidR="00057923" w:rsidRDefault="00057923" w:rsidP="00057923">
      <w:pPr>
        <w:pStyle w:val="Odsekzoznamu"/>
        <w:spacing w:after="0" w:line="240" w:lineRule="auto"/>
        <w:ind w:left="0"/>
        <w:jc w:val="both"/>
      </w:pPr>
    </w:p>
  </w:footnote>
  <w:footnote w:id="27">
    <w:p w:rsidR="00057923" w:rsidRPr="00BB0FF6" w:rsidRDefault="00057923" w:rsidP="00057923">
      <w:pPr>
        <w:autoSpaceDE w:val="0"/>
        <w:autoSpaceDN w:val="0"/>
        <w:adjustRightInd w:val="0"/>
        <w:spacing w:after="120" w:line="240" w:lineRule="auto"/>
        <w:jc w:val="both"/>
        <w:rPr>
          <w:rFonts w:ascii="Book Antiqua" w:hAnsi="Book Antiqua"/>
          <w:sz w:val="18"/>
          <w:szCs w:val="18"/>
        </w:rPr>
      </w:pPr>
      <w:r w:rsidRPr="00EC782F">
        <w:rPr>
          <w:rStyle w:val="Odkaznapoznmkupodiarou"/>
          <w:rFonts w:ascii="Book Antiqua" w:hAnsi="Book Antiqua"/>
          <w:sz w:val="18"/>
          <w:szCs w:val="18"/>
        </w:rPr>
        <w:footnoteRef/>
      </w:r>
      <w:r w:rsidRPr="00EC782F">
        <w:rPr>
          <w:rFonts w:ascii="Book Antiqua" w:hAnsi="Book Antiqua"/>
          <w:sz w:val="18"/>
          <w:szCs w:val="18"/>
        </w:rPr>
        <w:t xml:space="preserve"> </w:t>
      </w:r>
      <w:r w:rsidRPr="006705BC">
        <w:rPr>
          <w:rFonts w:ascii="Book Antiqua" w:hAnsi="Book Antiqua"/>
          <w:sz w:val="18"/>
          <w:szCs w:val="18"/>
        </w:rPr>
        <w:t>Skupiny zamestnaní zaraďovaných do I. pracovnej kategórie sa delili na tie, pri výkone ktorých vznikal nárok na starobný dôchodok dovŕšením zníženého veku (najnižší dôchodkový vek bol 55 rokov), resp. dovŕšením platnej vekovej hranice pre vznik nároku na starobný dôchodok. Pri výkone zamestnaní zarade</w:t>
      </w:r>
      <w:r w:rsidRPr="00BB0FF6">
        <w:rPr>
          <w:rFonts w:ascii="Book Antiqua" w:hAnsi="Book Antiqua"/>
          <w:sz w:val="18"/>
          <w:szCs w:val="18"/>
        </w:rPr>
        <w:t>ných do II. pracovnej kategórie všeobecne platná veková hranica pre vznik nároku na starobný dôchodok nebola ustanovená, t. j. neplatí znížený dôchodkový vek.</w:t>
      </w:r>
    </w:p>
    <w:p w:rsidR="00057923" w:rsidRDefault="00057923" w:rsidP="00057923">
      <w:pPr>
        <w:autoSpaceDE w:val="0"/>
        <w:autoSpaceDN w:val="0"/>
        <w:adjustRightInd w:val="0"/>
        <w:spacing w:after="120" w:line="240" w:lineRule="auto"/>
        <w:jc w:val="both"/>
      </w:pPr>
    </w:p>
  </w:footnote>
  <w:footnote w:id="28">
    <w:p w:rsidR="00057923" w:rsidRDefault="00057923" w:rsidP="00057923">
      <w:pPr>
        <w:pStyle w:val="Textpoznmkypodiarou"/>
        <w:jc w:val="both"/>
      </w:pPr>
      <w:r w:rsidRPr="006705BC">
        <w:rPr>
          <w:rStyle w:val="Odkaznapoznmkupodiarou"/>
          <w:rFonts w:ascii="Book Antiqua" w:hAnsi="Book Antiqua"/>
          <w:sz w:val="18"/>
          <w:szCs w:val="18"/>
        </w:rPr>
        <w:footnoteRef/>
      </w:r>
      <w:r w:rsidRPr="006705BC">
        <w:rPr>
          <w:rFonts w:ascii="Book Antiqua" w:hAnsi="Book Antiqua"/>
          <w:sz w:val="18"/>
          <w:szCs w:val="18"/>
        </w:rPr>
        <w:t xml:space="preserve"> V súčasnej dobe nie je možné určiť presný zámer zníženia dôchodkového veku podľa zákona o soci</w:t>
      </w:r>
      <w:r w:rsidRPr="00BB0FF6">
        <w:rPr>
          <w:rFonts w:ascii="Book Antiqua" w:hAnsi="Book Antiqua"/>
          <w:sz w:val="18"/>
          <w:szCs w:val="18"/>
        </w:rPr>
        <w:t>álnom zabezpečení. Zámerom mohlo byť odmenenie výkonu rizikového zamestnania dlhším obdobím poberania dôchodku alebo sa vplyvom výkonu práce v sťažených / rizikových podmienkach očakávalo kratšie dožit</w:t>
      </w:r>
      <w:r w:rsidRPr="00217C33">
        <w:rPr>
          <w:rFonts w:ascii="Book Antiqua" w:hAnsi="Book Antiqua"/>
          <w:sz w:val="18"/>
          <w:szCs w:val="18"/>
        </w:rPr>
        <w:t>ie týchto zamestnancov a bolo považov</w:t>
      </w:r>
      <w:r w:rsidRPr="002D4632">
        <w:rPr>
          <w:rFonts w:ascii="Book Antiqua" w:hAnsi="Book Antiqua"/>
          <w:sz w:val="18"/>
          <w:szCs w:val="18"/>
        </w:rPr>
        <w:t>ané za potrebné znížiť dôchodkový vek z dôvodu aby dôchodok mohli poberať približne rovnaké obdobie ako zamestnanci II. či III. pracovnej kategórie. Z tohto</w:t>
      </w:r>
      <w:r w:rsidRPr="005E4015">
        <w:rPr>
          <w:rFonts w:ascii="Book Antiqua" w:hAnsi="Book Antiqua"/>
          <w:sz w:val="18"/>
          <w:szCs w:val="18"/>
        </w:rPr>
        <w:t xml:space="preserve"> dôvodu uvádzame, že zníženie dôchodkového veku u osôb vykonávajúcich určité obdobie práce zaradené do I. p</w:t>
      </w:r>
      <w:r w:rsidRPr="00677FCA">
        <w:rPr>
          <w:rFonts w:ascii="Book Antiqua" w:hAnsi="Book Antiqua"/>
          <w:sz w:val="18"/>
          <w:szCs w:val="18"/>
        </w:rPr>
        <w:t xml:space="preserve">racovnej kategórie, v niektorých prípadoch až o 5 rokov, bolo </w:t>
      </w:r>
      <w:r w:rsidRPr="00563E8E">
        <w:rPr>
          <w:rFonts w:ascii="Book Antiqua" w:hAnsi="Book Antiqua"/>
          <w:b/>
          <w:sz w:val="18"/>
          <w:szCs w:val="18"/>
          <w:u w:val="single"/>
        </w:rPr>
        <w:t>vzhľadom na ich dĺžku dožitia</w:t>
      </w:r>
      <w:r w:rsidRPr="00563E8E">
        <w:rPr>
          <w:rFonts w:ascii="Book Antiqua" w:hAnsi="Book Antiqua"/>
          <w:sz w:val="18"/>
          <w:szCs w:val="18"/>
        </w:rPr>
        <w:t xml:space="preserve"> príliš benevolentné.</w:t>
      </w:r>
    </w:p>
  </w:footnote>
  <w:footnote w:id="29">
    <w:p w:rsidR="00057923" w:rsidRDefault="00057923" w:rsidP="00057923">
      <w:pPr>
        <w:pStyle w:val="Textpoznmkypodiarou"/>
      </w:pPr>
      <w:r w:rsidRPr="00EC782F">
        <w:rPr>
          <w:rStyle w:val="Odkaznapoznmkupodiarou"/>
          <w:rFonts w:ascii="Book Antiqua" w:hAnsi="Book Antiqua"/>
          <w:sz w:val="18"/>
          <w:szCs w:val="18"/>
        </w:rPr>
        <w:footnoteRef/>
      </w:r>
      <w:r w:rsidRPr="00EC782F">
        <w:rPr>
          <w:rFonts w:ascii="Book Antiqua" w:hAnsi="Book Antiqua"/>
          <w:sz w:val="18"/>
          <w:szCs w:val="18"/>
        </w:rPr>
        <w:t xml:space="preserve"> </w:t>
      </w:r>
      <w:r w:rsidRPr="006705BC">
        <w:rPr>
          <w:rFonts w:ascii="Book Antiqua" w:hAnsi="Book Antiqua"/>
          <w:sz w:val="18"/>
          <w:szCs w:val="18"/>
        </w:rPr>
        <w:t>http://www.finance.gov.sk/Default.aspx?CatID=11158</w:t>
      </w:r>
    </w:p>
  </w:footnote>
  <w:footnote w:id="30">
    <w:p w:rsidR="00057923" w:rsidRDefault="00057923" w:rsidP="00057923">
      <w:pPr>
        <w:pStyle w:val="Textpoznmkypodiarou"/>
      </w:pPr>
      <w:r w:rsidRPr="00EC782F">
        <w:rPr>
          <w:rStyle w:val="Odkaznapoznmkupodiarou"/>
          <w:rFonts w:ascii="Book Antiqua" w:hAnsi="Book Antiqua"/>
          <w:sz w:val="18"/>
          <w:szCs w:val="18"/>
        </w:rPr>
        <w:footnoteRef/>
      </w:r>
      <w:r w:rsidRPr="00EC782F">
        <w:rPr>
          <w:rFonts w:ascii="Book Antiqua" w:hAnsi="Book Antiqua"/>
          <w:sz w:val="18"/>
          <w:szCs w:val="18"/>
        </w:rPr>
        <w:t xml:space="preserve"> </w:t>
      </w:r>
      <w:r w:rsidRPr="006705BC">
        <w:rPr>
          <w:rFonts w:ascii="Book Antiqua" w:hAnsi="Book Antiqua"/>
          <w:sz w:val="18"/>
          <w:szCs w:val="18"/>
        </w:rPr>
        <w:t>Uvedené vyplýva zo súhrnnej správy z mimoriadnej previerky „ŠKRTIČ IV“.</w:t>
      </w:r>
    </w:p>
  </w:footnote>
  <w:footnote w:id="31">
    <w:p w:rsidR="00057923" w:rsidRDefault="00057923" w:rsidP="00057923">
      <w:pPr>
        <w:pStyle w:val="Textpoznmkypodiarou"/>
        <w:jc w:val="both"/>
      </w:pPr>
      <w:r w:rsidRPr="006705BC">
        <w:rPr>
          <w:rStyle w:val="Odkaznapoznmkupodiarou"/>
          <w:rFonts w:ascii="Book Antiqua" w:hAnsi="Book Antiqua"/>
          <w:sz w:val="18"/>
          <w:szCs w:val="18"/>
        </w:rPr>
        <w:footnoteRef/>
      </w:r>
      <w:r w:rsidRPr="006705BC">
        <w:rPr>
          <w:rFonts w:ascii="Book Antiqua" w:hAnsi="Book Antiqua"/>
          <w:sz w:val="18"/>
          <w:szCs w:val="18"/>
        </w:rPr>
        <w:t xml:space="preserve"> Z dôvodu, že niektorí </w:t>
      </w:r>
      <w:r w:rsidRPr="00BB0FF6">
        <w:rPr>
          <w:rFonts w:ascii="Book Antiqua" w:hAnsi="Book Antiqua"/>
          <w:sz w:val="18"/>
          <w:szCs w:val="18"/>
        </w:rPr>
        <w:t xml:space="preserve">zamestnávatelia už v súčasnosti prispievajú za </w:t>
      </w:r>
      <w:proofErr w:type="spellStart"/>
      <w:r w:rsidRPr="00BB0FF6">
        <w:rPr>
          <w:rFonts w:ascii="Book Antiqua" w:hAnsi="Book Antiqua"/>
          <w:sz w:val="18"/>
          <w:szCs w:val="18"/>
        </w:rPr>
        <w:t>rizikárov</w:t>
      </w:r>
      <w:proofErr w:type="spellEnd"/>
      <w:r w:rsidRPr="00BB0FF6">
        <w:rPr>
          <w:rFonts w:ascii="Book Antiqua" w:hAnsi="Book Antiqua"/>
          <w:sz w:val="18"/>
          <w:szCs w:val="18"/>
        </w:rPr>
        <w:t xml:space="preserve"> viac ako 2 % z ich vymeriavacieho základu (poznatok z kontrolných akcií NIP </w:t>
      </w:r>
      <w:proofErr w:type="spellStart"/>
      <w:r w:rsidRPr="00BB0FF6">
        <w:rPr>
          <w:rFonts w:ascii="Book Antiqua" w:hAnsi="Book Antiqua"/>
          <w:sz w:val="18"/>
          <w:szCs w:val="18"/>
        </w:rPr>
        <w:t>Škrtič</w:t>
      </w:r>
      <w:proofErr w:type="spellEnd"/>
      <w:r w:rsidRPr="00BB0FF6">
        <w:rPr>
          <w:rFonts w:ascii="Book Antiqua" w:hAnsi="Book Antiqua"/>
          <w:sz w:val="18"/>
          <w:szCs w:val="18"/>
        </w:rPr>
        <w:t>) nie je možné presne kvantifikovať vplyv na zamestnávateľov, kým</w:t>
      </w:r>
      <w:r w:rsidRPr="00217C33">
        <w:rPr>
          <w:rFonts w:ascii="Book Antiqua" w:hAnsi="Book Antiqua"/>
          <w:sz w:val="18"/>
          <w:szCs w:val="18"/>
        </w:rPr>
        <w:t xml:space="preserve"> nebudeme mať dáta od doplnkových dôchodkových spoločností prepojené s dátami od Sociálnej poisťovne. Odhadujeme však že v roku 2019 by zamestnávatelia museli zaplatiť na príspevkoch do III. piliera cca o 6 mil. eur viac.</w:t>
      </w:r>
    </w:p>
  </w:footnote>
  <w:footnote w:id="32">
    <w:p w:rsidR="00057923" w:rsidRDefault="00057923" w:rsidP="00057923">
      <w:pPr>
        <w:pStyle w:val="Textkomentra"/>
        <w:jc w:val="both"/>
      </w:pPr>
      <w:r w:rsidRPr="00EC782F">
        <w:rPr>
          <w:rFonts w:ascii="Book Antiqua" w:hAnsi="Book Antiqua"/>
          <w:sz w:val="18"/>
          <w:szCs w:val="18"/>
          <w:vertAlign w:val="superscript"/>
        </w:rPr>
        <w:footnoteRef/>
      </w:r>
      <w:r w:rsidRPr="006705BC">
        <w:rPr>
          <w:rFonts w:ascii="Book Antiqua" w:hAnsi="Book Antiqua"/>
          <w:sz w:val="18"/>
          <w:szCs w:val="18"/>
        </w:rPr>
        <w:t xml:space="preserve"> Podľa § 7 ods. 1 písm. e) zákona o dani z príjmov</w:t>
      </w:r>
      <w:r w:rsidRPr="00BB0FF6">
        <w:rPr>
          <w:rFonts w:ascii="Book Antiqua" w:hAnsi="Book Antiqua"/>
          <w:sz w:val="18"/>
          <w:szCs w:val="18"/>
        </w:rPr>
        <w:t>, sú dávky z doplnkového dôchodkového sporenia príjmami z kapitálového majetku. V súlade s príslušnými ustanoveniami § 43 zákona o dani z príjmov sa daň vyberá zrážkou a to vo výške 19% z príjmov. Základom dane pre daň z príjmu z dávky z d</w:t>
      </w:r>
      <w:r w:rsidRPr="00217C33">
        <w:rPr>
          <w:rFonts w:ascii="Book Antiqua" w:hAnsi="Book Antiqua"/>
          <w:sz w:val="18"/>
          <w:szCs w:val="18"/>
        </w:rPr>
        <w:t>oplnkového dôchodkového sporenia je p</w:t>
      </w:r>
      <w:r w:rsidRPr="002D4632">
        <w:rPr>
          <w:rFonts w:ascii="Book Antiqua" w:hAnsi="Book Antiqua"/>
          <w:sz w:val="18"/>
          <w:szCs w:val="18"/>
        </w:rPr>
        <w:t>lnenie znížené o zaplatené vklady, pričom ak ide o dôchodok, rozdelia sa zaplatené vklady na obdobie poberania dôchodku.</w:t>
      </w:r>
    </w:p>
  </w:footnote>
  <w:footnote w:id="33">
    <w:p w:rsidR="00057923" w:rsidRDefault="00057923" w:rsidP="00057923">
      <w:pPr>
        <w:pStyle w:val="Textpoznmkypodiarou"/>
      </w:pPr>
      <w:r>
        <w:rPr>
          <w:rStyle w:val="Odkaznapoznmkupodiarou"/>
        </w:rPr>
        <w:footnoteRef/>
      </w:r>
      <w:r>
        <w:t xml:space="preserve"> </w:t>
      </w:r>
      <w:r w:rsidRPr="00225BA6">
        <w:rPr>
          <w:rFonts w:ascii="Book Antiqua" w:hAnsi="Book Antiqua"/>
          <w:sz w:val="18"/>
        </w:rPr>
        <w:t>Od 1.1. 2009.</w:t>
      </w:r>
    </w:p>
  </w:footnote>
  <w:footnote w:id="34">
    <w:p w:rsidR="00057923" w:rsidRDefault="00057923" w:rsidP="00057923">
      <w:pPr>
        <w:pStyle w:val="Textpoznmkypodiarou"/>
      </w:pPr>
      <w:r>
        <w:rPr>
          <w:rStyle w:val="Odkaznapoznmkupodiarou"/>
        </w:rPr>
        <w:footnoteRef/>
      </w:r>
      <w:r>
        <w:t xml:space="preserve"> </w:t>
      </w:r>
      <w:r w:rsidRPr="00225BA6">
        <w:rPr>
          <w:rFonts w:ascii="Book Antiqua" w:hAnsi="Book Antiqua"/>
          <w:sz w:val="18"/>
        </w:rPr>
        <w:t>Od 1.8.2006.</w:t>
      </w:r>
    </w:p>
  </w:footnote>
  <w:footnote w:id="35">
    <w:p w:rsidR="00057923" w:rsidRDefault="00057923" w:rsidP="00057923">
      <w:pPr>
        <w:pStyle w:val="Textpoznmkypodiarou"/>
      </w:pPr>
      <w:r>
        <w:rPr>
          <w:rStyle w:val="Odkaznapoznmkupodiarou"/>
        </w:rPr>
        <w:footnoteRef/>
      </w:r>
      <w:r>
        <w:t xml:space="preserve"> </w:t>
      </w:r>
      <w:r w:rsidRPr="00225BA6">
        <w:rPr>
          <w:rFonts w:ascii="Book Antiqua" w:hAnsi="Book Antiqua"/>
          <w:sz w:val="18"/>
        </w:rPr>
        <w:t>Od 1.8.2006.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7D5"/>
    <w:multiLevelType w:val="hybridMultilevel"/>
    <w:tmpl w:val="DBCC99B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104AC4"/>
    <w:multiLevelType w:val="hybridMultilevel"/>
    <w:tmpl w:val="358CB096"/>
    <w:lvl w:ilvl="0" w:tplc="EDA0C41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CB289C"/>
    <w:multiLevelType w:val="hybridMultilevel"/>
    <w:tmpl w:val="C3E6F7D0"/>
    <w:lvl w:ilvl="0" w:tplc="89E6C7C6">
      <w:start w:val="1"/>
      <w:numFmt w:val="decimal"/>
      <w:lvlText w:val="%1)"/>
      <w:lvlJc w:val="left"/>
      <w:pPr>
        <w:tabs>
          <w:tab w:val="num" w:pos="720"/>
        </w:tabs>
        <w:ind w:left="720" w:hanging="360"/>
      </w:pPr>
      <w:rPr>
        <w:rFonts w:cs="Times New Roman"/>
        <w:b w:val="0"/>
        <w:i/>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094A10"/>
    <w:multiLevelType w:val="hybridMultilevel"/>
    <w:tmpl w:val="2E54D6E0"/>
    <w:lvl w:ilvl="0" w:tplc="A5AE9596">
      <w:start w:val="1"/>
      <w:numFmt w:val="decimal"/>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4" w15:restartNumberingAfterBreak="0">
    <w:nsid w:val="181E7C81"/>
    <w:multiLevelType w:val="hybridMultilevel"/>
    <w:tmpl w:val="51A45B14"/>
    <w:lvl w:ilvl="0" w:tplc="EDA0C41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BD91C85"/>
    <w:multiLevelType w:val="hybridMultilevel"/>
    <w:tmpl w:val="8F38C0C0"/>
    <w:lvl w:ilvl="0" w:tplc="7A12A74C">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C11865"/>
    <w:multiLevelType w:val="hybridMultilevel"/>
    <w:tmpl w:val="3AFC4328"/>
    <w:lvl w:ilvl="0" w:tplc="EDA0C41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1C95561"/>
    <w:multiLevelType w:val="hybridMultilevel"/>
    <w:tmpl w:val="9564A04E"/>
    <w:lvl w:ilvl="0" w:tplc="CFF2148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3861134"/>
    <w:multiLevelType w:val="hybridMultilevel"/>
    <w:tmpl w:val="610433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36632A"/>
    <w:multiLevelType w:val="hybridMultilevel"/>
    <w:tmpl w:val="0BBA1B9E"/>
    <w:lvl w:ilvl="0" w:tplc="F072D2B6">
      <w:start w:val="7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0A86AC9"/>
    <w:multiLevelType w:val="hybridMultilevel"/>
    <w:tmpl w:val="F9FCB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4317173"/>
    <w:multiLevelType w:val="hybridMultilevel"/>
    <w:tmpl w:val="0E68F2FC"/>
    <w:lvl w:ilvl="0" w:tplc="B6CADB20">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B2A0A2E"/>
    <w:multiLevelType w:val="hybridMultilevel"/>
    <w:tmpl w:val="2676FD2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BD04E34"/>
    <w:multiLevelType w:val="hybridMultilevel"/>
    <w:tmpl w:val="42FE6F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E3D587A"/>
    <w:multiLevelType w:val="hybridMultilevel"/>
    <w:tmpl w:val="4DBC78A8"/>
    <w:lvl w:ilvl="0" w:tplc="49720634">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1675840"/>
    <w:multiLevelType w:val="hybridMultilevel"/>
    <w:tmpl w:val="40521D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1BD447D"/>
    <w:multiLevelType w:val="hybridMultilevel"/>
    <w:tmpl w:val="440265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8D8423A"/>
    <w:multiLevelType w:val="hybridMultilevel"/>
    <w:tmpl w:val="F9A00384"/>
    <w:lvl w:ilvl="0" w:tplc="DC60E858">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93708AD"/>
    <w:multiLevelType w:val="multilevel"/>
    <w:tmpl w:val="5D98ECD4"/>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49EE7509"/>
    <w:multiLevelType w:val="hybridMultilevel"/>
    <w:tmpl w:val="90B28B72"/>
    <w:lvl w:ilvl="0" w:tplc="8A14CB02">
      <w:start w:val="32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AB00116"/>
    <w:multiLevelType w:val="hybridMultilevel"/>
    <w:tmpl w:val="CBF61B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4B704351"/>
    <w:multiLevelType w:val="hybridMultilevel"/>
    <w:tmpl w:val="F716978E"/>
    <w:lvl w:ilvl="0" w:tplc="4A040046">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2" w15:restartNumberingAfterBreak="0">
    <w:nsid w:val="543F45D2"/>
    <w:multiLevelType w:val="hybridMultilevel"/>
    <w:tmpl w:val="DBCC99B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7DD030E"/>
    <w:multiLevelType w:val="hybridMultilevel"/>
    <w:tmpl w:val="AD66926C"/>
    <w:lvl w:ilvl="0" w:tplc="19C0606C">
      <w:start w:val="1"/>
      <w:numFmt w:val="decimal"/>
      <w:lvlText w:val="%1."/>
      <w:lvlJc w:val="left"/>
      <w:pPr>
        <w:ind w:left="720" w:hanging="360"/>
      </w:pPr>
      <w:rPr>
        <w:rFonts w:ascii="Book Antiqua" w:hAnsi="Book Antiqua" w:cs="Times New Roman" w:hint="default"/>
        <w:sz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BF76CF7"/>
    <w:multiLevelType w:val="hybridMultilevel"/>
    <w:tmpl w:val="135292AE"/>
    <w:lvl w:ilvl="0" w:tplc="5F7CA546">
      <w:numFmt w:val="bullet"/>
      <w:lvlText w:val="-"/>
      <w:lvlJc w:val="left"/>
      <w:pPr>
        <w:ind w:left="1140" w:hanging="360"/>
      </w:pPr>
      <w:rPr>
        <w:rFonts w:ascii="Times New Roman" w:eastAsiaTheme="minorEastAsia" w:hAnsi="Times New Roman" w:hint="default"/>
      </w:rPr>
    </w:lvl>
    <w:lvl w:ilvl="1" w:tplc="041B0003" w:tentative="1">
      <w:start w:val="1"/>
      <w:numFmt w:val="bullet"/>
      <w:lvlText w:val="o"/>
      <w:lvlJc w:val="left"/>
      <w:pPr>
        <w:ind w:left="1860" w:hanging="360"/>
      </w:pPr>
      <w:rPr>
        <w:rFonts w:ascii="Courier New" w:hAnsi="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25" w15:restartNumberingAfterBreak="0">
    <w:nsid w:val="605E4AA6"/>
    <w:multiLevelType w:val="hybridMultilevel"/>
    <w:tmpl w:val="3DDA5CEE"/>
    <w:lvl w:ilvl="0" w:tplc="BF1E7C68">
      <w:start w:val="1"/>
      <w:numFmt w:val="lowerLetter"/>
      <w:lvlText w:val="%1)"/>
      <w:lvlJc w:val="left"/>
      <w:pPr>
        <w:ind w:left="720" w:hanging="360"/>
      </w:pPr>
      <w:rPr>
        <w:rFonts w:cs="Times New Roman" w:hint="default"/>
        <w:b/>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1072456"/>
    <w:multiLevelType w:val="hybridMultilevel"/>
    <w:tmpl w:val="9CF4E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2150CAA"/>
    <w:multiLevelType w:val="hybridMultilevel"/>
    <w:tmpl w:val="AE3013F8"/>
    <w:lvl w:ilvl="0" w:tplc="AF5849F4">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15:restartNumberingAfterBreak="0">
    <w:nsid w:val="62762166"/>
    <w:multiLevelType w:val="hybridMultilevel"/>
    <w:tmpl w:val="9D7C2A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46255D9"/>
    <w:multiLevelType w:val="hybridMultilevel"/>
    <w:tmpl w:val="9244A12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5B22819"/>
    <w:multiLevelType w:val="hybridMultilevel"/>
    <w:tmpl w:val="2676FD2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7241DFA"/>
    <w:multiLevelType w:val="hybridMultilevel"/>
    <w:tmpl w:val="55CE24C6"/>
    <w:lvl w:ilvl="0" w:tplc="041B0001">
      <w:start w:val="1"/>
      <w:numFmt w:val="bullet"/>
      <w:lvlText w:val=""/>
      <w:lvlJc w:val="left"/>
      <w:pPr>
        <w:ind w:left="2187" w:hanging="360"/>
      </w:pPr>
      <w:rPr>
        <w:rFonts w:ascii="Symbol" w:hAnsi="Symbol" w:hint="default"/>
      </w:rPr>
    </w:lvl>
    <w:lvl w:ilvl="1" w:tplc="041B0003" w:tentative="1">
      <w:start w:val="1"/>
      <w:numFmt w:val="bullet"/>
      <w:lvlText w:val="o"/>
      <w:lvlJc w:val="left"/>
      <w:pPr>
        <w:ind w:left="2907" w:hanging="360"/>
      </w:pPr>
      <w:rPr>
        <w:rFonts w:ascii="Courier New" w:hAnsi="Courier New" w:hint="default"/>
      </w:rPr>
    </w:lvl>
    <w:lvl w:ilvl="2" w:tplc="041B0005" w:tentative="1">
      <w:start w:val="1"/>
      <w:numFmt w:val="bullet"/>
      <w:lvlText w:val=""/>
      <w:lvlJc w:val="left"/>
      <w:pPr>
        <w:ind w:left="3627" w:hanging="360"/>
      </w:pPr>
      <w:rPr>
        <w:rFonts w:ascii="Wingdings" w:hAnsi="Wingdings" w:hint="default"/>
      </w:rPr>
    </w:lvl>
    <w:lvl w:ilvl="3" w:tplc="041B0001" w:tentative="1">
      <w:start w:val="1"/>
      <w:numFmt w:val="bullet"/>
      <w:lvlText w:val=""/>
      <w:lvlJc w:val="left"/>
      <w:pPr>
        <w:ind w:left="4347" w:hanging="360"/>
      </w:pPr>
      <w:rPr>
        <w:rFonts w:ascii="Symbol" w:hAnsi="Symbol" w:hint="default"/>
      </w:rPr>
    </w:lvl>
    <w:lvl w:ilvl="4" w:tplc="041B0003" w:tentative="1">
      <w:start w:val="1"/>
      <w:numFmt w:val="bullet"/>
      <w:lvlText w:val="o"/>
      <w:lvlJc w:val="left"/>
      <w:pPr>
        <w:ind w:left="5067" w:hanging="360"/>
      </w:pPr>
      <w:rPr>
        <w:rFonts w:ascii="Courier New" w:hAnsi="Courier New" w:hint="default"/>
      </w:rPr>
    </w:lvl>
    <w:lvl w:ilvl="5" w:tplc="041B0005" w:tentative="1">
      <w:start w:val="1"/>
      <w:numFmt w:val="bullet"/>
      <w:lvlText w:val=""/>
      <w:lvlJc w:val="left"/>
      <w:pPr>
        <w:ind w:left="5787" w:hanging="360"/>
      </w:pPr>
      <w:rPr>
        <w:rFonts w:ascii="Wingdings" w:hAnsi="Wingdings" w:hint="default"/>
      </w:rPr>
    </w:lvl>
    <w:lvl w:ilvl="6" w:tplc="041B0001" w:tentative="1">
      <w:start w:val="1"/>
      <w:numFmt w:val="bullet"/>
      <w:lvlText w:val=""/>
      <w:lvlJc w:val="left"/>
      <w:pPr>
        <w:ind w:left="6507" w:hanging="360"/>
      </w:pPr>
      <w:rPr>
        <w:rFonts w:ascii="Symbol" w:hAnsi="Symbol" w:hint="default"/>
      </w:rPr>
    </w:lvl>
    <w:lvl w:ilvl="7" w:tplc="041B0003" w:tentative="1">
      <w:start w:val="1"/>
      <w:numFmt w:val="bullet"/>
      <w:lvlText w:val="o"/>
      <w:lvlJc w:val="left"/>
      <w:pPr>
        <w:ind w:left="7227" w:hanging="360"/>
      </w:pPr>
      <w:rPr>
        <w:rFonts w:ascii="Courier New" w:hAnsi="Courier New" w:hint="default"/>
      </w:rPr>
    </w:lvl>
    <w:lvl w:ilvl="8" w:tplc="041B0005" w:tentative="1">
      <w:start w:val="1"/>
      <w:numFmt w:val="bullet"/>
      <w:lvlText w:val=""/>
      <w:lvlJc w:val="left"/>
      <w:pPr>
        <w:ind w:left="7947" w:hanging="360"/>
      </w:pPr>
      <w:rPr>
        <w:rFonts w:ascii="Wingdings" w:hAnsi="Wingdings" w:hint="default"/>
      </w:rPr>
    </w:lvl>
  </w:abstractNum>
  <w:abstractNum w:abstractNumId="32" w15:restartNumberingAfterBreak="0">
    <w:nsid w:val="6A0C1599"/>
    <w:multiLevelType w:val="hybridMultilevel"/>
    <w:tmpl w:val="355436CC"/>
    <w:lvl w:ilvl="0" w:tplc="C99294CE">
      <w:start w:val="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BB37D26"/>
    <w:multiLevelType w:val="hybridMultilevel"/>
    <w:tmpl w:val="C79C63FE"/>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4" w15:restartNumberingAfterBreak="0">
    <w:nsid w:val="6D187392"/>
    <w:multiLevelType w:val="hybridMultilevel"/>
    <w:tmpl w:val="F5043288"/>
    <w:lvl w:ilvl="0" w:tplc="96B07BFC">
      <w:start w:val="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D1B670F"/>
    <w:multiLevelType w:val="hybridMultilevel"/>
    <w:tmpl w:val="03C621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D483846"/>
    <w:multiLevelType w:val="hybridMultilevel"/>
    <w:tmpl w:val="C3E6F7D0"/>
    <w:lvl w:ilvl="0" w:tplc="89E6C7C6">
      <w:start w:val="1"/>
      <w:numFmt w:val="decimal"/>
      <w:lvlText w:val="%1)"/>
      <w:lvlJc w:val="left"/>
      <w:pPr>
        <w:tabs>
          <w:tab w:val="num" w:pos="720"/>
        </w:tabs>
        <w:ind w:left="720" w:hanging="360"/>
      </w:pPr>
      <w:rPr>
        <w:rFonts w:cs="Times New Roman"/>
        <w:b w:val="0"/>
        <w:i/>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D50574"/>
    <w:multiLevelType w:val="hybridMultilevel"/>
    <w:tmpl w:val="BA6A11CA"/>
    <w:lvl w:ilvl="0" w:tplc="1F1CB58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FE042F4"/>
    <w:multiLevelType w:val="multilevel"/>
    <w:tmpl w:val="A9BACDDC"/>
    <w:lvl w:ilvl="0">
      <w:start w:val="4"/>
      <w:numFmt w:val="decimal"/>
      <w:lvlText w:val="%1"/>
      <w:lvlJc w:val="left"/>
      <w:pPr>
        <w:ind w:left="480" w:hanging="480"/>
      </w:pPr>
      <w:rPr>
        <w:rFonts w:cs="Times New Roman" w:hint="default"/>
      </w:rPr>
    </w:lvl>
    <w:lvl w:ilvl="1">
      <w:start w:val="3"/>
      <w:numFmt w:val="decimal"/>
      <w:lvlText w:val="%1.%2"/>
      <w:lvlJc w:val="left"/>
      <w:pPr>
        <w:ind w:left="1331" w:hanging="48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136" w:hanging="1440"/>
      </w:pPr>
      <w:rPr>
        <w:rFonts w:cs="Times New Roman" w:hint="default"/>
      </w:rPr>
    </w:lvl>
  </w:abstractNum>
  <w:abstractNum w:abstractNumId="39" w15:restartNumberingAfterBreak="0">
    <w:nsid w:val="713E38B7"/>
    <w:multiLevelType w:val="hybridMultilevel"/>
    <w:tmpl w:val="9514C59E"/>
    <w:lvl w:ilvl="0" w:tplc="6916EB2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4AE070D"/>
    <w:multiLevelType w:val="multilevel"/>
    <w:tmpl w:val="EA24E75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cs="Times New Roman" w:hint="default"/>
      </w:rPr>
    </w:lvl>
    <w:lvl w:ilvl="2">
      <w:start w:val="4"/>
      <w:numFmt w:val="bullet"/>
      <w:lvlText w:val="-"/>
      <w:lvlJc w:val="left"/>
      <w:pPr>
        <w:ind w:left="2160" w:hanging="360"/>
      </w:pPr>
      <w:rPr>
        <w:rFonts w:ascii="Book Antiqua" w:eastAsia="Times New Roman" w:hAnsi="Book Antiqu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95662E"/>
    <w:multiLevelType w:val="hybridMultilevel"/>
    <w:tmpl w:val="077A3ECA"/>
    <w:lvl w:ilvl="0" w:tplc="0032CD28">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9AE51B2"/>
    <w:multiLevelType w:val="hybridMultilevel"/>
    <w:tmpl w:val="BD04B7F4"/>
    <w:lvl w:ilvl="0" w:tplc="041B000F">
      <w:start w:val="1"/>
      <w:numFmt w:val="decimal"/>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BA41E24"/>
    <w:multiLevelType w:val="hybridMultilevel"/>
    <w:tmpl w:val="934896A4"/>
    <w:lvl w:ilvl="0" w:tplc="B346045C">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CEF3EC7"/>
    <w:multiLevelType w:val="hybridMultilevel"/>
    <w:tmpl w:val="241C9C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6"/>
  </w:num>
  <w:num w:numId="5">
    <w:abstractNumId w:val="43"/>
  </w:num>
  <w:num w:numId="6">
    <w:abstractNumId w:val="37"/>
  </w:num>
  <w:num w:numId="7">
    <w:abstractNumId w:val="42"/>
  </w:num>
  <w:num w:numId="8">
    <w:abstractNumId w:val="12"/>
  </w:num>
  <w:num w:numId="9">
    <w:abstractNumId w:val="24"/>
  </w:num>
  <w:num w:numId="10">
    <w:abstractNumId w:val="30"/>
  </w:num>
  <w:num w:numId="11">
    <w:abstractNumId w:val="20"/>
  </w:num>
  <w:num w:numId="12">
    <w:abstractNumId w:val="41"/>
  </w:num>
  <w:num w:numId="13">
    <w:abstractNumId w:val="40"/>
  </w:num>
  <w:num w:numId="14">
    <w:abstractNumId w:val="35"/>
  </w:num>
  <w:num w:numId="15">
    <w:abstractNumId w:val="44"/>
  </w:num>
  <w:num w:numId="16">
    <w:abstractNumId w:val="36"/>
  </w:num>
  <w:num w:numId="17">
    <w:abstractNumId w:val="2"/>
  </w:num>
  <w:num w:numId="18">
    <w:abstractNumId w:val="17"/>
  </w:num>
  <w:num w:numId="19">
    <w:abstractNumId w:val="22"/>
  </w:num>
  <w:num w:numId="20">
    <w:abstractNumId w:val="29"/>
  </w:num>
  <w:num w:numId="21">
    <w:abstractNumId w:val="7"/>
  </w:num>
  <w:num w:numId="22">
    <w:abstractNumId w:val="5"/>
  </w:num>
  <w:num w:numId="23">
    <w:abstractNumId w:val="23"/>
  </w:num>
  <w:num w:numId="24">
    <w:abstractNumId w:val="16"/>
  </w:num>
  <w:num w:numId="25">
    <w:abstractNumId w:val="15"/>
  </w:num>
  <w:num w:numId="26">
    <w:abstractNumId w:val="21"/>
  </w:num>
  <w:num w:numId="27">
    <w:abstractNumId w:val="13"/>
  </w:num>
  <w:num w:numId="28">
    <w:abstractNumId w:val="34"/>
  </w:num>
  <w:num w:numId="29">
    <w:abstractNumId w:val="32"/>
  </w:num>
  <w:num w:numId="30">
    <w:abstractNumId w:val="39"/>
  </w:num>
  <w:num w:numId="31">
    <w:abstractNumId w:val="25"/>
  </w:num>
  <w:num w:numId="32">
    <w:abstractNumId w:val="11"/>
  </w:num>
  <w:num w:numId="33">
    <w:abstractNumId w:val="38"/>
  </w:num>
  <w:num w:numId="34">
    <w:abstractNumId w:val="27"/>
  </w:num>
  <w:num w:numId="35">
    <w:abstractNumId w:val="3"/>
  </w:num>
  <w:num w:numId="36">
    <w:abstractNumId w:val="9"/>
  </w:num>
  <w:num w:numId="37">
    <w:abstractNumId w:val="19"/>
  </w:num>
  <w:num w:numId="38">
    <w:abstractNumId w:val="28"/>
  </w:num>
  <w:num w:numId="39">
    <w:abstractNumId w:val="31"/>
  </w:num>
  <w:num w:numId="40">
    <w:abstractNumId w:val="33"/>
  </w:num>
  <w:num w:numId="41">
    <w:abstractNumId w:val="18"/>
  </w:num>
  <w:num w:numId="42">
    <w:abstractNumId w:val="10"/>
  </w:num>
  <w:num w:numId="4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23"/>
    <w:rsid w:val="00057923"/>
    <w:rsid w:val="0049452B"/>
    <w:rsid w:val="007926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AC32C-5E93-4C86-82F9-449B0097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057923"/>
    <w:pPr>
      <w:keepNext/>
      <w:keepLines/>
      <w:spacing w:before="480" w:after="0" w:line="276" w:lineRule="auto"/>
      <w:outlineLvl w:val="0"/>
    </w:pPr>
    <w:rPr>
      <w:rFonts w:asciiTheme="majorHAnsi" w:eastAsiaTheme="majorEastAsia" w:hAnsiTheme="majorHAnsi" w:cs="Times New Roman"/>
      <w:b/>
      <w:bCs/>
      <w:color w:val="2F5496" w:themeColor="accent1" w:themeShade="BF"/>
      <w:sz w:val="28"/>
      <w:szCs w:val="28"/>
    </w:rPr>
  </w:style>
  <w:style w:type="paragraph" w:styleId="Nadpis2">
    <w:name w:val="heading 2"/>
    <w:basedOn w:val="Normlny"/>
    <w:next w:val="Normlny"/>
    <w:link w:val="Nadpis2Char"/>
    <w:uiPriority w:val="9"/>
    <w:unhideWhenUsed/>
    <w:qFormat/>
    <w:rsid w:val="00057923"/>
    <w:pPr>
      <w:keepNext/>
      <w:keepLines/>
      <w:spacing w:before="200" w:after="0" w:line="276" w:lineRule="auto"/>
      <w:outlineLvl w:val="1"/>
    </w:pPr>
    <w:rPr>
      <w:rFonts w:asciiTheme="majorHAnsi" w:eastAsiaTheme="majorEastAsia" w:hAnsiTheme="majorHAnsi" w:cs="Times New Roman"/>
      <w:b/>
      <w:bCs/>
      <w:color w:val="4472C4" w:themeColor="accent1"/>
      <w:sz w:val="26"/>
      <w:szCs w:val="26"/>
    </w:rPr>
  </w:style>
  <w:style w:type="paragraph" w:styleId="Nadpis3">
    <w:name w:val="heading 3"/>
    <w:basedOn w:val="Normlny"/>
    <w:next w:val="Normlny"/>
    <w:link w:val="Nadpis3Char"/>
    <w:uiPriority w:val="9"/>
    <w:unhideWhenUsed/>
    <w:qFormat/>
    <w:rsid w:val="00057923"/>
    <w:pPr>
      <w:keepNext/>
      <w:keepLines/>
      <w:spacing w:before="200" w:after="0" w:line="276" w:lineRule="auto"/>
      <w:outlineLvl w:val="2"/>
    </w:pPr>
    <w:rPr>
      <w:rFonts w:asciiTheme="majorHAnsi" w:eastAsiaTheme="majorEastAsia" w:hAnsiTheme="majorHAnsi" w:cs="Times New Roman"/>
      <w:b/>
      <w:b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57923"/>
    <w:rPr>
      <w:rFonts w:asciiTheme="majorHAnsi" w:eastAsiaTheme="majorEastAsia" w:hAnsiTheme="majorHAnsi" w:cs="Times New Roman"/>
      <w:b/>
      <w:bCs/>
      <w:color w:val="2F5496" w:themeColor="accent1" w:themeShade="BF"/>
      <w:sz w:val="28"/>
      <w:szCs w:val="28"/>
    </w:rPr>
  </w:style>
  <w:style w:type="character" w:customStyle="1" w:styleId="Nadpis2Char">
    <w:name w:val="Nadpis 2 Char"/>
    <w:basedOn w:val="Predvolenpsmoodseku"/>
    <w:link w:val="Nadpis2"/>
    <w:uiPriority w:val="9"/>
    <w:rsid w:val="00057923"/>
    <w:rPr>
      <w:rFonts w:asciiTheme="majorHAnsi" w:eastAsiaTheme="majorEastAsia" w:hAnsiTheme="majorHAnsi" w:cs="Times New Roman"/>
      <w:b/>
      <w:bCs/>
      <w:color w:val="4472C4" w:themeColor="accent1"/>
      <w:sz w:val="26"/>
      <w:szCs w:val="26"/>
    </w:rPr>
  </w:style>
  <w:style w:type="character" w:customStyle="1" w:styleId="Nadpis3Char">
    <w:name w:val="Nadpis 3 Char"/>
    <w:basedOn w:val="Predvolenpsmoodseku"/>
    <w:link w:val="Nadpis3"/>
    <w:uiPriority w:val="9"/>
    <w:rsid w:val="00057923"/>
    <w:rPr>
      <w:rFonts w:asciiTheme="majorHAnsi" w:eastAsiaTheme="majorEastAsia" w:hAnsiTheme="majorHAnsi" w:cs="Times New Roman"/>
      <w:b/>
      <w:bCs/>
      <w:color w:val="4472C4" w:themeColor="accent1"/>
    </w:rPr>
  </w:style>
  <w:style w:type="character" w:styleId="Odkaznakomentr">
    <w:name w:val="annotation reference"/>
    <w:basedOn w:val="Predvolenpsmoodseku"/>
    <w:uiPriority w:val="99"/>
    <w:semiHidden/>
    <w:unhideWhenUsed/>
    <w:rsid w:val="00057923"/>
    <w:rPr>
      <w:rFonts w:cs="Times New Roman"/>
      <w:sz w:val="16"/>
      <w:szCs w:val="16"/>
    </w:rPr>
  </w:style>
  <w:style w:type="paragraph" w:styleId="Textkomentra">
    <w:name w:val="annotation text"/>
    <w:basedOn w:val="Normlny"/>
    <w:link w:val="TextkomentraChar"/>
    <w:uiPriority w:val="99"/>
    <w:unhideWhenUsed/>
    <w:rsid w:val="00057923"/>
    <w:pPr>
      <w:spacing w:after="20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057923"/>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057923"/>
    <w:rPr>
      <w:b/>
      <w:bCs/>
    </w:rPr>
  </w:style>
  <w:style w:type="character" w:customStyle="1" w:styleId="PredmetkomentraChar">
    <w:name w:val="Predmet komentára Char"/>
    <w:basedOn w:val="TextkomentraChar"/>
    <w:link w:val="Predmetkomentra"/>
    <w:uiPriority w:val="99"/>
    <w:semiHidden/>
    <w:rsid w:val="00057923"/>
    <w:rPr>
      <w:rFonts w:eastAsia="Times New Roman" w:cs="Times New Roman"/>
      <w:b/>
      <w:bCs/>
      <w:sz w:val="20"/>
      <w:szCs w:val="20"/>
    </w:rPr>
  </w:style>
  <w:style w:type="paragraph" w:styleId="Textbubliny">
    <w:name w:val="Balloon Text"/>
    <w:basedOn w:val="Normlny"/>
    <w:link w:val="TextbublinyChar"/>
    <w:uiPriority w:val="99"/>
    <w:semiHidden/>
    <w:unhideWhenUsed/>
    <w:rsid w:val="00057923"/>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057923"/>
    <w:rPr>
      <w:rFonts w:ascii="Tahoma" w:eastAsia="Times New Roman" w:hAnsi="Tahoma" w:cs="Tahoma"/>
      <w:sz w:val="16"/>
      <w:szCs w:val="16"/>
    </w:rPr>
  </w:style>
  <w:style w:type="paragraph" w:styleId="Hlavika">
    <w:name w:val="header"/>
    <w:basedOn w:val="Normlny"/>
    <w:link w:val="HlavikaChar"/>
    <w:uiPriority w:val="99"/>
    <w:unhideWhenUsed/>
    <w:rsid w:val="00057923"/>
    <w:pPr>
      <w:tabs>
        <w:tab w:val="center" w:pos="4536"/>
        <w:tab w:val="right" w:pos="9072"/>
      </w:tabs>
      <w:spacing w:after="0" w:line="240" w:lineRule="auto"/>
    </w:pPr>
    <w:rPr>
      <w:rFonts w:eastAsia="Times New Roman" w:cs="Times New Roman"/>
    </w:rPr>
  </w:style>
  <w:style w:type="character" w:customStyle="1" w:styleId="HlavikaChar">
    <w:name w:val="Hlavička Char"/>
    <w:basedOn w:val="Predvolenpsmoodseku"/>
    <w:link w:val="Hlavika"/>
    <w:uiPriority w:val="99"/>
    <w:rsid w:val="00057923"/>
    <w:rPr>
      <w:rFonts w:eastAsia="Times New Roman" w:cs="Times New Roman"/>
    </w:rPr>
  </w:style>
  <w:style w:type="paragraph" w:styleId="Pta">
    <w:name w:val="footer"/>
    <w:basedOn w:val="Normlny"/>
    <w:link w:val="PtaChar"/>
    <w:uiPriority w:val="99"/>
    <w:unhideWhenUsed/>
    <w:rsid w:val="00057923"/>
    <w:pPr>
      <w:tabs>
        <w:tab w:val="center" w:pos="4536"/>
        <w:tab w:val="right" w:pos="9072"/>
      </w:tabs>
      <w:spacing w:after="0" w:line="240" w:lineRule="auto"/>
    </w:pPr>
    <w:rPr>
      <w:rFonts w:eastAsia="Times New Roman" w:cs="Times New Roman"/>
    </w:rPr>
  </w:style>
  <w:style w:type="character" w:customStyle="1" w:styleId="PtaChar">
    <w:name w:val="Päta Char"/>
    <w:basedOn w:val="Predvolenpsmoodseku"/>
    <w:link w:val="Pta"/>
    <w:uiPriority w:val="99"/>
    <w:rsid w:val="00057923"/>
    <w:rPr>
      <w:rFonts w:eastAsia="Times New Roman" w:cs="Times New Roman"/>
    </w:rPr>
  </w:style>
  <w:style w:type="paragraph" w:styleId="Odsekzoznamu">
    <w:name w:val="List Paragraph"/>
    <w:aliases w:val="body,Odsek zoznamu2,Odsek,Odsek zoznamu1"/>
    <w:basedOn w:val="Normlny"/>
    <w:link w:val="OdsekzoznamuChar"/>
    <w:uiPriority w:val="34"/>
    <w:qFormat/>
    <w:rsid w:val="00057923"/>
    <w:pPr>
      <w:spacing w:after="200" w:line="276" w:lineRule="auto"/>
      <w:ind w:left="720"/>
      <w:contextualSpacing/>
    </w:pPr>
    <w:rPr>
      <w:rFonts w:eastAsia="Times New Roman" w:cs="Times New Roman"/>
    </w:rPr>
  </w:style>
  <w:style w:type="character" w:customStyle="1" w:styleId="OdsekzoznamuChar">
    <w:name w:val="Odsek zoznamu Char"/>
    <w:aliases w:val="body Char,Odsek zoznamu2 Char,Odsek Char,Odsek zoznamu1 Char"/>
    <w:basedOn w:val="Predvolenpsmoodseku"/>
    <w:link w:val="Odsekzoznamu"/>
    <w:uiPriority w:val="34"/>
    <w:locked/>
    <w:rsid w:val="00057923"/>
    <w:rPr>
      <w:rFonts w:eastAsia="Times New Roman" w:cs="Times New Roman"/>
    </w:rPr>
  </w:style>
  <w:style w:type="character" w:styleId="Hypertextovprepojenie">
    <w:name w:val="Hyperlink"/>
    <w:basedOn w:val="Predvolenpsmoodseku"/>
    <w:uiPriority w:val="99"/>
    <w:unhideWhenUsed/>
    <w:rsid w:val="00057923"/>
    <w:rPr>
      <w:rFonts w:cs="Times New Roman"/>
      <w:color w:val="0563C1" w:themeColor="hyperlink"/>
      <w:u w:val="single"/>
    </w:rPr>
  </w:style>
  <w:style w:type="paragraph" w:customStyle="1" w:styleId="CM1">
    <w:name w:val="CM1"/>
    <w:basedOn w:val="Normlny"/>
    <w:uiPriority w:val="99"/>
    <w:rsid w:val="00057923"/>
    <w:pPr>
      <w:autoSpaceDE w:val="0"/>
      <w:autoSpaceDN w:val="0"/>
      <w:spacing w:after="0" w:line="240" w:lineRule="auto"/>
    </w:pPr>
    <w:rPr>
      <w:rFonts w:ascii="EUAlbertina" w:eastAsia="Times New Roman" w:hAnsi="EUAlbertina" w:cs="Times New Roman"/>
      <w:sz w:val="24"/>
      <w:szCs w:val="24"/>
    </w:rPr>
  </w:style>
  <w:style w:type="paragraph" w:customStyle="1" w:styleId="Default">
    <w:name w:val="Default"/>
    <w:rsid w:val="00057923"/>
    <w:pPr>
      <w:autoSpaceDE w:val="0"/>
      <w:autoSpaceDN w:val="0"/>
      <w:adjustRightInd w:val="0"/>
      <w:spacing w:after="0" w:line="240" w:lineRule="auto"/>
    </w:pPr>
    <w:rPr>
      <w:rFonts w:ascii="Calibri" w:eastAsia="Times New Roman" w:hAnsi="Calibri" w:cs="Calibri"/>
      <w:color w:val="000000"/>
      <w:sz w:val="24"/>
      <w:szCs w:val="24"/>
    </w:rPr>
  </w:style>
  <w:style w:type="paragraph" w:styleId="Textpoznmkypodiarou">
    <w:name w:val="footnote text"/>
    <w:basedOn w:val="Normlny"/>
    <w:link w:val="TextpoznmkypodiarouChar"/>
    <w:uiPriority w:val="99"/>
    <w:semiHidden/>
    <w:unhideWhenUsed/>
    <w:rsid w:val="00057923"/>
    <w:pPr>
      <w:spacing w:after="0" w:line="240" w:lineRule="auto"/>
    </w:pPr>
    <w:rPr>
      <w:rFonts w:eastAsia="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057923"/>
    <w:rPr>
      <w:rFonts w:eastAsia="Times New Roman" w:cs="Times New Roman"/>
      <w:sz w:val="20"/>
      <w:szCs w:val="20"/>
    </w:rPr>
  </w:style>
  <w:style w:type="character" w:styleId="Odkaznapoznmkupodiarou">
    <w:name w:val="footnote reference"/>
    <w:basedOn w:val="Predvolenpsmoodseku"/>
    <w:uiPriority w:val="99"/>
    <w:semiHidden/>
    <w:unhideWhenUsed/>
    <w:rsid w:val="00057923"/>
    <w:rPr>
      <w:rFonts w:cs="Times New Roman"/>
      <w:vertAlign w:val="superscript"/>
    </w:rPr>
  </w:style>
  <w:style w:type="paragraph" w:styleId="Popis">
    <w:name w:val="caption"/>
    <w:basedOn w:val="Normlny"/>
    <w:next w:val="Normlny"/>
    <w:uiPriority w:val="35"/>
    <w:unhideWhenUsed/>
    <w:qFormat/>
    <w:rsid w:val="00057923"/>
    <w:pPr>
      <w:spacing w:after="200" w:line="240" w:lineRule="auto"/>
    </w:pPr>
    <w:rPr>
      <w:rFonts w:eastAsia="Times New Roman" w:cs="Times New Roman"/>
      <w:b/>
      <w:bCs/>
      <w:color w:val="4472C4" w:themeColor="accent1"/>
      <w:sz w:val="18"/>
      <w:szCs w:val="18"/>
    </w:rPr>
  </w:style>
  <w:style w:type="table" w:styleId="Mriekatabuky">
    <w:name w:val="Table Grid"/>
    <w:basedOn w:val="Normlnatabuka"/>
    <w:uiPriority w:val="59"/>
    <w:rsid w:val="0005792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057923"/>
    <w:pPr>
      <w:spacing w:after="0" w:line="240" w:lineRule="auto"/>
    </w:pPr>
    <w:rPr>
      <w:rFonts w:eastAsia="Times New Roman" w:cs="Times New Roman"/>
    </w:rPr>
  </w:style>
  <w:style w:type="character" w:styleId="PouitHypertextovPrepojenie">
    <w:name w:val="FollowedHyperlink"/>
    <w:basedOn w:val="Predvolenpsmoodseku"/>
    <w:uiPriority w:val="99"/>
    <w:semiHidden/>
    <w:unhideWhenUsed/>
    <w:rsid w:val="00057923"/>
    <w:rPr>
      <w:rFonts w:cs="Times New Roman"/>
      <w:color w:val="954F72" w:themeColor="followedHyperlink"/>
      <w:u w:val="single"/>
    </w:rPr>
  </w:style>
  <w:style w:type="character" w:styleId="Zvraznenie">
    <w:name w:val="Emphasis"/>
    <w:basedOn w:val="Predvolenpsmoodseku"/>
    <w:uiPriority w:val="20"/>
    <w:qFormat/>
    <w:rsid w:val="00057923"/>
    <w:rPr>
      <w:rFonts w:cs="Times New Roman"/>
      <w:b/>
      <w:bCs/>
    </w:rPr>
  </w:style>
  <w:style w:type="character" w:customStyle="1" w:styleId="st1">
    <w:name w:val="st1"/>
    <w:basedOn w:val="Predvolenpsmoodseku"/>
    <w:rsid w:val="00057923"/>
    <w:rPr>
      <w:rFonts w:cs="Times New Roman"/>
    </w:rPr>
  </w:style>
  <w:style w:type="character" w:customStyle="1" w:styleId="Zkladntext2">
    <w:name w:val="Základný text (2)_"/>
    <w:basedOn w:val="Predvolenpsmoodseku"/>
    <w:link w:val="Zkladntext20"/>
    <w:locked/>
    <w:rsid w:val="00057923"/>
    <w:rPr>
      <w:rFonts w:ascii="Times New Roman" w:hAnsi="Times New Roman" w:cs="Times New Roman"/>
      <w:shd w:val="clear" w:color="auto" w:fill="FFFFFF"/>
    </w:rPr>
  </w:style>
  <w:style w:type="paragraph" w:customStyle="1" w:styleId="Zkladntext20">
    <w:name w:val="Základný text (2)"/>
    <w:basedOn w:val="Normlny"/>
    <w:link w:val="Zkladntext2"/>
    <w:rsid w:val="00057923"/>
    <w:pPr>
      <w:widowControl w:val="0"/>
      <w:shd w:val="clear" w:color="auto" w:fill="FFFFFF"/>
      <w:spacing w:after="540" w:line="240" w:lineRule="atLeast"/>
      <w:ind w:hanging="2060"/>
      <w:jc w:val="both"/>
    </w:pPr>
    <w:rPr>
      <w:rFonts w:ascii="Times New Roman" w:hAnsi="Times New Roman" w:cs="Times New Roman"/>
    </w:rPr>
  </w:style>
  <w:style w:type="paragraph" w:styleId="Normlnywebov">
    <w:name w:val="Normal (Web)"/>
    <w:basedOn w:val="Normlny"/>
    <w:uiPriority w:val="99"/>
    <w:unhideWhenUsed/>
    <w:rsid w:val="00057923"/>
    <w:pPr>
      <w:spacing w:before="144" w:after="144" w:line="240" w:lineRule="auto"/>
    </w:pPr>
    <w:rPr>
      <w:rFonts w:ascii="Times New Roman" w:eastAsia="Times New Roman" w:hAnsi="Times New Roman" w:cs="Times New Roman"/>
      <w:sz w:val="24"/>
      <w:szCs w:val="24"/>
      <w:lang w:eastAsia="sk-SK"/>
    </w:rPr>
  </w:style>
  <w:style w:type="character" w:customStyle="1" w:styleId="spanr">
    <w:name w:val="span_r"/>
    <w:basedOn w:val="Predvolenpsmoodseku"/>
    <w:rsid w:val="00057923"/>
    <w:rPr>
      <w:rFonts w:cs="Times New Roman"/>
    </w:rPr>
  </w:style>
  <w:style w:type="paragraph" w:styleId="Zkladntext">
    <w:name w:val="Body Text"/>
    <w:basedOn w:val="Normlny"/>
    <w:link w:val="ZkladntextChar"/>
    <w:uiPriority w:val="99"/>
    <w:unhideWhenUsed/>
    <w:rsid w:val="00057923"/>
    <w:pPr>
      <w:spacing w:after="0" w:line="360" w:lineRule="auto"/>
    </w:pPr>
    <w:rPr>
      <w:rFonts w:eastAsiaTheme="minorEastAsia" w:cs="Times New Roman"/>
      <w:sz w:val="24"/>
      <w:szCs w:val="24"/>
    </w:rPr>
  </w:style>
  <w:style w:type="character" w:customStyle="1" w:styleId="ZkladntextChar">
    <w:name w:val="Základný text Char"/>
    <w:basedOn w:val="Predvolenpsmoodseku"/>
    <w:link w:val="Zkladntext"/>
    <w:uiPriority w:val="99"/>
    <w:rsid w:val="00057923"/>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chart" Target="charts/chart1.xml"/><Relationship Id="rId12" Type="http://schemas.openxmlformats.org/officeDocument/2006/relationships/image" Target="media/image2.png"/><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4.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6.xml"/><Relationship Id="rId22" Type="http://schemas.openxmlformats.org/officeDocument/2006/relationships/chart" Target="charts/chart14.xml"/></Relationships>
</file>

<file path=word/_rels/footnotes.xml.rels><?xml version="1.0" encoding="UTF-8" standalone="yes"?>
<Relationships xmlns="http://schemas.openxmlformats.org/package/2006/relationships"><Relationship Id="rId2" Type="http://schemas.openxmlformats.org/officeDocument/2006/relationships/hyperlink" Target="http://www.rokovania.sk/Rokovanie.aspx/BodRokovaniaDetail?idMaterial=26681" TargetMode="External"/><Relationship Id="rId1" Type="http://schemas.openxmlformats.org/officeDocument/2006/relationships/hyperlink" Target="https://ec.europa.eu/info/business-economy-euro/economic-and-fiscal-policy-coordination/eu-economic-governance-monitoring-prevention-correction/european-semester/european-semester-your-country/slovakia/europe-2020-targets-statistics-and-indicators-slovakia_e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dancek\Desktop\NPAS_data.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dancek\Desktop\anal&#253;za%20NPAS\NPAS_data%20.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dancek\Desktop\NPAS_data%20.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dancek\Desktop\NPAS_data%20.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dancek\Desktop\anal&#253;za%20NPAS\NPAS_data%20.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dancek\Desktop\anal&#253;za%20NPAS\NPAS_data%20.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zizakova\Desktop\NPAS\&#353;krti&#269;%204%20sum&#225;r.xlsx" TargetMode="External"/><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ancek\Desktop\NPAS_dat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ancek\Desktop\NPAS_data%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dancek\Desktop\anal&#253;za%20NPAS\minim&#225;lne%20obdobie%20DP.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ancek\Desktop\preh&#318;ad%20PSD.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dancek\Desktop\NPAS_data%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dancek\Desktop\NPAS_data%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hebe\groups\Sspds\&#352;tatistick&#233;%20&#250;daje%20SP\I.%20pilier\dochodkove%20poistenie.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Zo&#353;it1"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747260360193386"/>
          <c:y val="8.4437714516454654E-2"/>
          <c:w val="0.87936020510837687"/>
          <c:h val="0.74766611620355994"/>
        </c:manualLayout>
      </c:layout>
      <c:lineChart>
        <c:grouping val="standard"/>
        <c:varyColors val="0"/>
        <c:ser>
          <c:idx val="3"/>
          <c:order val="0"/>
          <c:tx>
            <c:strRef>
              <c:f>'prehľad SD_PSD'!$B$14</c:f>
              <c:strCache>
                <c:ptCount val="1"/>
                <c:pt idx="0">
                  <c:v>muži</c:v>
                </c:pt>
              </c:strCache>
            </c:strRef>
          </c:tx>
          <c:spPr>
            <a:ln w="22225">
              <a:solidFill>
                <a:srgbClr val="2C9ADC"/>
              </a:solidFill>
              <a:prstDash val="solid"/>
            </a:ln>
          </c:spPr>
          <c:marker>
            <c:symbol val="none"/>
          </c:marker>
          <c:cat>
            <c:numRef>
              <c:f>'prehľad SD_PSD'!$C$13:$O$13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SD_PSD'!$C$14:$O$14</c:f>
              <c:numCache>
                <c:formatCode>General</c:formatCode>
                <c:ptCount val="13"/>
                <c:pt idx="0">
                  <c:v>42.42</c:v>
                </c:pt>
                <c:pt idx="1">
                  <c:v>42.97</c:v>
                </c:pt>
                <c:pt idx="2">
                  <c:v>40.4</c:v>
                </c:pt>
                <c:pt idx="3">
                  <c:v>41.28</c:v>
                </c:pt>
                <c:pt idx="4">
                  <c:v>42.06</c:v>
                </c:pt>
                <c:pt idx="5">
                  <c:v>41.86</c:v>
                </c:pt>
                <c:pt idx="6">
                  <c:v>41.22</c:v>
                </c:pt>
                <c:pt idx="7">
                  <c:v>41.4</c:v>
                </c:pt>
                <c:pt idx="8">
                  <c:v>42.02</c:v>
                </c:pt>
                <c:pt idx="9">
                  <c:v>41.69</c:v>
                </c:pt>
                <c:pt idx="10">
                  <c:v>43.65</c:v>
                </c:pt>
                <c:pt idx="11">
                  <c:v>43.74</c:v>
                </c:pt>
                <c:pt idx="12">
                  <c:v>43.59</c:v>
                </c:pt>
              </c:numCache>
            </c:numRef>
          </c:val>
          <c:smooth val="1"/>
          <c:extLst>
            <c:ext xmlns:c16="http://schemas.microsoft.com/office/drawing/2014/chart" uri="{C3380CC4-5D6E-409C-BE32-E72D297353CC}">
              <c16:uniqueId val="{00000000-6D71-44EF-BCA2-7194BCB4E542}"/>
            </c:ext>
          </c:extLst>
        </c:ser>
        <c:ser>
          <c:idx val="5"/>
          <c:order val="1"/>
          <c:tx>
            <c:strRef>
              <c:f>'prehľad SD_PSD'!$B$15</c:f>
              <c:strCache>
                <c:ptCount val="1"/>
                <c:pt idx="0">
                  <c:v>ženy</c:v>
                </c:pt>
              </c:strCache>
            </c:strRef>
          </c:tx>
          <c:spPr>
            <a:ln w="22225">
              <a:solidFill>
                <a:sysClr val="windowText" lastClr="000000"/>
              </a:solidFill>
              <a:prstDash val="solid"/>
            </a:ln>
          </c:spPr>
          <c:marker>
            <c:symbol val="none"/>
          </c:marker>
          <c:cat>
            <c:numRef>
              <c:f>'prehľad SD_PSD'!$C$13:$O$13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SD_PSD'!$C$15:$O$15</c:f>
              <c:numCache>
                <c:formatCode>General</c:formatCode>
                <c:ptCount val="13"/>
                <c:pt idx="0">
                  <c:v>36.700000000000003</c:v>
                </c:pt>
                <c:pt idx="1">
                  <c:v>36.229999999999997</c:v>
                </c:pt>
                <c:pt idx="2">
                  <c:v>33.979999999999997</c:v>
                </c:pt>
                <c:pt idx="3">
                  <c:v>33.76</c:v>
                </c:pt>
                <c:pt idx="4">
                  <c:v>35.65</c:v>
                </c:pt>
                <c:pt idx="5">
                  <c:v>35.85</c:v>
                </c:pt>
                <c:pt idx="6">
                  <c:v>36.130000000000003</c:v>
                </c:pt>
                <c:pt idx="7">
                  <c:v>39.630000000000003</c:v>
                </c:pt>
                <c:pt idx="8">
                  <c:v>38.32</c:v>
                </c:pt>
                <c:pt idx="9">
                  <c:v>40.72</c:v>
                </c:pt>
                <c:pt idx="10">
                  <c:v>40.090000000000003</c:v>
                </c:pt>
                <c:pt idx="11">
                  <c:v>40.83</c:v>
                </c:pt>
                <c:pt idx="12">
                  <c:v>41.04</c:v>
                </c:pt>
              </c:numCache>
            </c:numRef>
          </c:val>
          <c:smooth val="1"/>
          <c:extLst>
            <c:ext xmlns:c16="http://schemas.microsoft.com/office/drawing/2014/chart" uri="{C3380CC4-5D6E-409C-BE32-E72D297353CC}">
              <c16:uniqueId val="{00000001-6D71-44EF-BCA2-7194BCB4E542}"/>
            </c:ext>
          </c:extLst>
        </c:ser>
        <c:dLbls>
          <c:showLegendKey val="0"/>
          <c:showVal val="0"/>
          <c:showCatName val="0"/>
          <c:showSerName val="0"/>
          <c:showPercent val="0"/>
          <c:showBubbleSize val="0"/>
        </c:dLbls>
        <c:smooth val="0"/>
        <c:axId val="233017344"/>
        <c:axId val="233018880"/>
      </c:lineChart>
      <c:catAx>
        <c:axId val="233017344"/>
        <c:scaling>
          <c:orientation val="minMax"/>
        </c:scaling>
        <c:delete val="0"/>
        <c:axPos val="b"/>
        <c:numFmt formatCode="General" sourceLinked="0"/>
        <c:majorTickMark val="out"/>
        <c:minorTickMark val="none"/>
        <c:tickLblPos val="low"/>
        <c:txPr>
          <a:bodyPr rot="-5400000" vert="horz"/>
          <a:lstStyle/>
          <a:p>
            <a:pPr>
              <a:defRPr sz="900">
                <a:latin typeface="Book Antiqua" panose="02040602050305030304" pitchFamily="18" charset="0"/>
              </a:defRPr>
            </a:pPr>
            <a:endParaRPr lang="sk-SK"/>
          </a:p>
        </c:txPr>
        <c:crossAx val="233018880"/>
        <c:crosses val="autoZero"/>
        <c:auto val="1"/>
        <c:lblAlgn val="ctr"/>
        <c:lblOffset val="100"/>
        <c:noMultiLvlLbl val="0"/>
      </c:catAx>
      <c:valAx>
        <c:axId val="233018880"/>
        <c:scaling>
          <c:orientation val="minMax"/>
          <c:min val="30"/>
        </c:scaling>
        <c:delete val="0"/>
        <c:axPos val="l"/>
        <c:majorGridlines>
          <c:spPr>
            <a:ln>
              <a:solidFill>
                <a:schemeClr val="bg1">
                  <a:lumMod val="75000"/>
                </a:schemeClr>
              </a:solidFill>
              <a:prstDash val="sysDash"/>
            </a:ln>
          </c:spPr>
        </c:majorGridlines>
        <c:title>
          <c:tx>
            <c:rich>
              <a:bodyPr rot="-5400000" vert="horz"/>
              <a:lstStyle/>
              <a:p>
                <a:pPr>
                  <a:defRPr sz="1000">
                    <a:latin typeface="Book Antiqua" panose="02040602050305030304" pitchFamily="18" charset="0"/>
                  </a:defRPr>
                </a:pPr>
                <a:r>
                  <a:rPr lang="en-US" sz="1000">
                    <a:latin typeface="Book Antiqua" panose="02040602050305030304" pitchFamily="18" charset="0"/>
                  </a:rPr>
                  <a:t>Obdobie dôchodkového poistenia </a:t>
                </a:r>
              </a:p>
            </c:rich>
          </c:tx>
          <c:overlay val="0"/>
        </c:title>
        <c:numFmt formatCode="#,##0" sourceLinked="0"/>
        <c:majorTickMark val="out"/>
        <c:minorTickMark val="none"/>
        <c:tickLblPos val="nextTo"/>
        <c:txPr>
          <a:bodyPr rot="0" vert="horz"/>
          <a:lstStyle/>
          <a:p>
            <a:pPr>
              <a:defRPr sz="900">
                <a:latin typeface="Book Antiqua" panose="02040602050305030304" pitchFamily="18" charset="0"/>
              </a:defRPr>
            </a:pPr>
            <a:endParaRPr lang="sk-SK"/>
          </a:p>
        </c:txPr>
        <c:crossAx val="233017344"/>
        <c:crosses val="autoZero"/>
        <c:crossBetween val="between"/>
      </c:valAx>
    </c:plotArea>
    <c:legend>
      <c:legendPos val="l"/>
      <c:legendEntry>
        <c:idx val="1"/>
        <c:txPr>
          <a:bodyPr/>
          <a:lstStyle/>
          <a:p>
            <a:pPr>
              <a:defRPr sz="1200"/>
            </a:pPr>
            <a:endParaRPr lang="sk-SK"/>
          </a:p>
        </c:txPr>
      </c:legendEntry>
      <c:layout>
        <c:manualLayout>
          <c:xMode val="edge"/>
          <c:yMode val="edge"/>
          <c:x val="0.54482201408693087"/>
          <c:y val="0.57674321959755026"/>
          <c:w val="0.44345505235958105"/>
          <c:h val="0.24087926509186353"/>
        </c:manualLayout>
      </c:layout>
      <c:overlay val="1"/>
      <c:spPr>
        <a:noFill/>
      </c:spPr>
      <c:txPr>
        <a:bodyPr/>
        <a:lstStyle/>
        <a:p>
          <a:pPr>
            <a:defRPr sz="1200"/>
          </a:pPr>
          <a:endParaRPr lang="sk-SK"/>
        </a:p>
      </c:txPr>
    </c:legend>
    <c:plotVisOnly val="1"/>
    <c:dispBlanksAs val="gap"/>
    <c:showDLblsOverMax val="0"/>
  </c:chart>
  <c:spPr>
    <a:ln>
      <a:solidFill>
        <a:sysClr val="windowText" lastClr="000000"/>
      </a:solidFill>
    </a:ln>
  </c:spPr>
  <c:txPr>
    <a:bodyPr/>
    <a:lstStyle/>
    <a:p>
      <a:pPr>
        <a:defRPr sz="1000" b="0" i="0" u="none" strike="noStrike" baseline="0">
          <a:solidFill>
            <a:srgbClr val="000000"/>
          </a:solidFill>
          <a:latin typeface="Arial Narrow" pitchFamily="34" charset="0"/>
          <a:ea typeface="Calibri"/>
          <a:cs typeface="Calibri"/>
        </a:defRPr>
      </a:pPr>
      <a:endParaRPr lang="sk-SK"/>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371882638381543E-2"/>
          <c:y val="5.2869141357330333E-2"/>
          <c:w val="0.91542765917146951"/>
          <c:h val="0.67029958755155605"/>
        </c:manualLayout>
      </c:layout>
      <c:lineChart>
        <c:grouping val="standard"/>
        <c:varyColors val="0"/>
        <c:ser>
          <c:idx val="1"/>
          <c:order val="0"/>
          <c:tx>
            <c:strRef>
              <c:f>'prehľad SD_PSD'!$AL$241</c:f>
              <c:strCache>
                <c:ptCount val="1"/>
                <c:pt idx="0">
                  <c:v>Poberateľ predčasného starobného dôchodku</c:v>
                </c:pt>
              </c:strCache>
            </c:strRef>
          </c:tx>
          <c:spPr>
            <a:ln>
              <a:solidFill>
                <a:srgbClr val="FF0000"/>
              </a:solidFill>
            </a:ln>
          </c:spPr>
          <c:marker>
            <c:symbol val="none"/>
          </c:marker>
          <c:cat>
            <c:numRef>
              <c:f>'prehľad SD_PSD'!$B$278:$B$290</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SD_PSD'!$E$278:$E$290</c:f>
              <c:numCache>
                <c:formatCode>General</c:formatCode>
                <c:ptCount val="13"/>
                <c:pt idx="0">
                  <c:v>58.507047386051951</c:v>
                </c:pt>
                <c:pt idx="1">
                  <c:v>58.481521565461883</c:v>
                </c:pt>
                <c:pt idx="2">
                  <c:v>58.773831143416523</c:v>
                </c:pt>
                <c:pt idx="3">
                  <c:v>58.605535449482957</c:v>
                </c:pt>
                <c:pt idx="4">
                  <c:v>59.797618855760717</c:v>
                </c:pt>
                <c:pt idx="5">
                  <c:v>59.85726545548696</c:v>
                </c:pt>
                <c:pt idx="6">
                  <c:v>59.805888616377928</c:v>
                </c:pt>
                <c:pt idx="7">
                  <c:v>60.116248269592276</c:v>
                </c:pt>
                <c:pt idx="8">
                  <c:v>60.177554642531504</c:v>
                </c:pt>
                <c:pt idx="9">
                  <c:v>60.248279941387523</c:v>
                </c:pt>
                <c:pt idx="10">
                  <c:v>60.2871019868522</c:v>
                </c:pt>
                <c:pt idx="11">
                  <c:v>60.299228922468451</c:v>
                </c:pt>
                <c:pt idx="12">
                  <c:v>60.459713773031609</c:v>
                </c:pt>
              </c:numCache>
            </c:numRef>
          </c:val>
          <c:smooth val="0"/>
          <c:extLst>
            <c:ext xmlns:c16="http://schemas.microsoft.com/office/drawing/2014/chart" uri="{C3380CC4-5D6E-409C-BE32-E72D297353CC}">
              <c16:uniqueId val="{00000000-A18D-4193-A0DA-EF6528E2A524}"/>
            </c:ext>
          </c:extLst>
        </c:ser>
        <c:ser>
          <c:idx val="2"/>
          <c:order val="1"/>
          <c:tx>
            <c:strRef>
              <c:f>'prehľad SD_PSD'!$AM$241</c:f>
              <c:strCache>
                <c:ptCount val="1"/>
                <c:pt idx="0">
                  <c:v>Poberateľ rýdzo starobného dôchodku</c:v>
                </c:pt>
              </c:strCache>
            </c:strRef>
          </c:tx>
          <c:spPr>
            <a:ln>
              <a:solidFill>
                <a:sysClr val="windowText" lastClr="000000"/>
              </a:solidFill>
            </a:ln>
          </c:spPr>
          <c:marker>
            <c:symbol val="none"/>
          </c:marker>
          <c:cat>
            <c:numRef>
              <c:f>'prehľad SD_PSD'!$B$278:$B$290</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SD_PSD'!$M$278:$M$290</c:f>
              <c:numCache>
                <c:formatCode>General</c:formatCode>
                <c:ptCount val="13"/>
                <c:pt idx="0">
                  <c:v>60.397890513361908</c:v>
                </c:pt>
                <c:pt idx="1">
                  <c:v>61.578668560332794</c:v>
                </c:pt>
                <c:pt idx="2">
                  <c:v>65.729596813368772</c:v>
                </c:pt>
                <c:pt idx="3">
                  <c:v>60.489527576419377</c:v>
                </c:pt>
                <c:pt idx="4">
                  <c:v>60.523016456743981</c:v>
                </c:pt>
                <c:pt idx="5">
                  <c:v>61.44321542970048</c:v>
                </c:pt>
                <c:pt idx="6">
                  <c:v>60.608463709146115</c:v>
                </c:pt>
                <c:pt idx="7">
                  <c:v>61.678308742925218</c:v>
                </c:pt>
                <c:pt idx="8">
                  <c:v>61.110848137295164</c:v>
                </c:pt>
                <c:pt idx="9">
                  <c:v>61.545552914740824</c:v>
                </c:pt>
                <c:pt idx="10">
                  <c:v>61.498623862805367</c:v>
                </c:pt>
                <c:pt idx="11">
                  <c:v>61.620042833474962</c:v>
                </c:pt>
                <c:pt idx="12">
                  <c:v>61.834625473622474</c:v>
                </c:pt>
              </c:numCache>
            </c:numRef>
          </c:val>
          <c:smooth val="0"/>
          <c:extLst>
            <c:ext xmlns:c16="http://schemas.microsoft.com/office/drawing/2014/chart" uri="{C3380CC4-5D6E-409C-BE32-E72D297353CC}">
              <c16:uniqueId val="{00000001-A18D-4193-A0DA-EF6528E2A524}"/>
            </c:ext>
          </c:extLst>
        </c:ser>
        <c:dLbls>
          <c:showLegendKey val="0"/>
          <c:showVal val="0"/>
          <c:showCatName val="0"/>
          <c:showSerName val="0"/>
          <c:showPercent val="0"/>
          <c:showBubbleSize val="0"/>
        </c:dLbls>
        <c:smooth val="0"/>
        <c:axId val="240790912"/>
        <c:axId val="240813184"/>
      </c:lineChart>
      <c:catAx>
        <c:axId val="240790912"/>
        <c:scaling>
          <c:orientation val="minMax"/>
        </c:scaling>
        <c:delete val="0"/>
        <c:axPos val="b"/>
        <c:numFmt formatCode="General" sourceLinked="1"/>
        <c:majorTickMark val="out"/>
        <c:minorTickMark val="none"/>
        <c:tickLblPos val="nextTo"/>
        <c:txPr>
          <a:bodyPr/>
          <a:lstStyle/>
          <a:p>
            <a:pPr>
              <a:defRPr>
                <a:latin typeface="Book Antiqua" panose="02040602050305030304" pitchFamily="18" charset="0"/>
              </a:defRPr>
            </a:pPr>
            <a:endParaRPr lang="sk-SK"/>
          </a:p>
        </c:txPr>
        <c:crossAx val="240813184"/>
        <c:crosses val="autoZero"/>
        <c:auto val="1"/>
        <c:lblAlgn val="ctr"/>
        <c:lblOffset val="100"/>
        <c:noMultiLvlLbl val="0"/>
      </c:catAx>
      <c:valAx>
        <c:axId val="240813184"/>
        <c:scaling>
          <c:orientation val="minMax"/>
        </c:scaling>
        <c:delete val="0"/>
        <c:axPos val="l"/>
        <c:majorGridlines>
          <c:spPr>
            <a:ln>
              <a:prstDash val="dash"/>
            </a:ln>
          </c:spPr>
        </c:majorGridlines>
        <c:numFmt formatCode="General" sourceLinked="1"/>
        <c:majorTickMark val="out"/>
        <c:minorTickMark val="none"/>
        <c:tickLblPos val="nextTo"/>
        <c:txPr>
          <a:bodyPr/>
          <a:lstStyle/>
          <a:p>
            <a:pPr>
              <a:defRPr>
                <a:latin typeface="Book Antiqua" panose="02040602050305030304" pitchFamily="18" charset="0"/>
              </a:defRPr>
            </a:pPr>
            <a:endParaRPr lang="sk-SK"/>
          </a:p>
        </c:txPr>
        <c:crossAx val="240790912"/>
        <c:crosses val="autoZero"/>
        <c:crossBetween val="between"/>
      </c:valAx>
      <c:spPr>
        <a:solidFill>
          <a:sysClr val="window" lastClr="FFFFFF"/>
        </a:solidFill>
        <a:ln w="12700" cap="flat" cmpd="sng" algn="ctr">
          <a:solidFill>
            <a:sysClr val="windowText" lastClr="000000"/>
          </a:solidFill>
          <a:prstDash val="solid"/>
          <a:miter lim="800000"/>
        </a:ln>
        <a:effectLst/>
      </c:spPr>
    </c:plotArea>
    <c:legend>
      <c:legendPos val="b"/>
      <c:layout>
        <c:manualLayout>
          <c:xMode val="edge"/>
          <c:yMode val="edge"/>
          <c:x val="5.2290860549647787E-2"/>
          <c:y val="0.82505254115962778"/>
          <c:w val="0.9"/>
          <c:h val="0.14897758469846442"/>
        </c:manualLayout>
      </c:layout>
      <c:overlay val="0"/>
      <c:txPr>
        <a:bodyPr/>
        <a:lstStyle/>
        <a:p>
          <a:pPr>
            <a:defRPr>
              <a:latin typeface="Book Antiqua" panose="02040602050305030304" pitchFamily="18" charset="0"/>
            </a:defRPr>
          </a:pPr>
          <a:endParaRPr lang="sk-SK"/>
        </a:p>
      </c:txPr>
    </c:legend>
    <c:plotVisOnly val="1"/>
    <c:dispBlanksAs val="gap"/>
    <c:showDLblsOverMax val="0"/>
  </c:chart>
  <c:spPr>
    <a:solidFill>
      <a:sysClr val="window" lastClr="FFFFFF"/>
    </a:solidFill>
    <a:ln w="3175" cap="flat" cmpd="sng" algn="ctr">
      <a:solidFill>
        <a:sysClr val="windowText" lastClr="000000"/>
      </a:solidFill>
      <a:prstDash val="solid"/>
      <a:miter lim="800000"/>
    </a:ln>
    <a:effectLst/>
  </c:spPr>
  <c:txPr>
    <a:bodyPr/>
    <a:lstStyle/>
    <a:p>
      <a:pPr>
        <a:defRPr>
          <a:solidFill>
            <a:sysClr val="windowText" lastClr="000000"/>
          </a:solidFill>
          <a:latin typeface="+mn-lt"/>
          <a:ea typeface="+mn-ea"/>
          <a:cs typeface="+mn-cs"/>
        </a:defRPr>
      </a:pPr>
      <a:endParaRPr lang="sk-SK"/>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74766611620355994"/>
        </c:manualLayout>
      </c:layout>
      <c:lineChart>
        <c:grouping val="standard"/>
        <c:varyColors val="0"/>
        <c:ser>
          <c:idx val="5"/>
          <c:order val="0"/>
          <c:tx>
            <c:strRef>
              <c:f>'prehľad SD_PSD'!$B$14</c:f>
              <c:strCache>
                <c:ptCount val="1"/>
                <c:pt idx="0">
                  <c:v>muži SD</c:v>
                </c:pt>
              </c:strCache>
            </c:strRef>
          </c:tx>
          <c:spPr>
            <a:ln w="22225">
              <a:solidFill>
                <a:srgbClr val="00B0F0"/>
              </a:solidFill>
              <a:prstDash val="solid"/>
            </a:ln>
          </c:spPr>
          <c:marker>
            <c:symbol val="none"/>
          </c:marker>
          <c:cat>
            <c:numRef>
              <c:f>'prehľad SD_PSD'!$C$13:$O$13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SD_PSD'!$C$14:$O$14</c:f>
              <c:numCache>
                <c:formatCode>General</c:formatCode>
                <c:ptCount val="13"/>
                <c:pt idx="0">
                  <c:v>42.42</c:v>
                </c:pt>
                <c:pt idx="1">
                  <c:v>42.97</c:v>
                </c:pt>
                <c:pt idx="2">
                  <c:v>40.4</c:v>
                </c:pt>
                <c:pt idx="3">
                  <c:v>41.28</c:v>
                </c:pt>
                <c:pt idx="4">
                  <c:v>42.06</c:v>
                </c:pt>
                <c:pt idx="5">
                  <c:v>41.86</c:v>
                </c:pt>
                <c:pt idx="6">
                  <c:v>41.22</c:v>
                </c:pt>
                <c:pt idx="7">
                  <c:v>41.4</c:v>
                </c:pt>
                <c:pt idx="8">
                  <c:v>42.02</c:v>
                </c:pt>
                <c:pt idx="9">
                  <c:v>41.69</c:v>
                </c:pt>
                <c:pt idx="10">
                  <c:v>43.65</c:v>
                </c:pt>
                <c:pt idx="11">
                  <c:v>43.74</c:v>
                </c:pt>
                <c:pt idx="12">
                  <c:v>43.59</c:v>
                </c:pt>
              </c:numCache>
            </c:numRef>
          </c:val>
          <c:smooth val="0"/>
          <c:extLst>
            <c:ext xmlns:c16="http://schemas.microsoft.com/office/drawing/2014/chart" uri="{C3380CC4-5D6E-409C-BE32-E72D297353CC}">
              <c16:uniqueId val="{00000000-2D1D-45BF-9D50-DC28ED667B46}"/>
            </c:ext>
          </c:extLst>
        </c:ser>
        <c:ser>
          <c:idx val="3"/>
          <c:order val="1"/>
          <c:tx>
            <c:strRef>
              <c:f>'prehľad SD_PSD'!$B$134</c:f>
              <c:strCache>
                <c:ptCount val="1"/>
                <c:pt idx="0">
                  <c:v>muži PSD</c:v>
                </c:pt>
              </c:strCache>
            </c:strRef>
          </c:tx>
          <c:spPr>
            <a:ln w="22225">
              <a:solidFill>
                <a:sysClr val="windowText" lastClr="000000"/>
              </a:solidFill>
              <a:prstDash val="solid"/>
            </a:ln>
          </c:spPr>
          <c:marker>
            <c:symbol val="none"/>
          </c:marker>
          <c:cat>
            <c:numRef>
              <c:f>'prehľad SD_PSD'!$C$13:$O$13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SD_PSD'!$C$134:$O$134</c:f>
              <c:numCache>
                <c:formatCode>0.0</c:formatCode>
                <c:ptCount val="13"/>
                <c:pt idx="0">
                  <c:v>42.33</c:v>
                </c:pt>
                <c:pt idx="1">
                  <c:v>42.7</c:v>
                </c:pt>
                <c:pt idx="2">
                  <c:v>42.41</c:v>
                </c:pt>
                <c:pt idx="3">
                  <c:v>41.85</c:v>
                </c:pt>
                <c:pt idx="4">
                  <c:v>42.26</c:v>
                </c:pt>
                <c:pt idx="5">
                  <c:v>42.66</c:v>
                </c:pt>
                <c:pt idx="6">
                  <c:v>42.41</c:v>
                </c:pt>
                <c:pt idx="7">
                  <c:v>41.4</c:v>
                </c:pt>
                <c:pt idx="8">
                  <c:v>41.71</c:v>
                </c:pt>
                <c:pt idx="9">
                  <c:v>41.69</c:v>
                </c:pt>
                <c:pt idx="10">
                  <c:v>41.5</c:v>
                </c:pt>
                <c:pt idx="11">
                  <c:v>41.26</c:v>
                </c:pt>
                <c:pt idx="12">
                  <c:v>41.1</c:v>
                </c:pt>
              </c:numCache>
            </c:numRef>
          </c:val>
          <c:smooth val="0"/>
          <c:extLst>
            <c:ext xmlns:c16="http://schemas.microsoft.com/office/drawing/2014/chart" uri="{C3380CC4-5D6E-409C-BE32-E72D297353CC}">
              <c16:uniqueId val="{00000001-2D1D-45BF-9D50-DC28ED667B46}"/>
            </c:ext>
          </c:extLst>
        </c:ser>
        <c:dLbls>
          <c:showLegendKey val="0"/>
          <c:showVal val="0"/>
          <c:showCatName val="0"/>
          <c:showSerName val="0"/>
          <c:showPercent val="0"/>
          <c:showBubbleSize val="0"/>
        </c:dLbls>
        <c:smooth val="0"/>
        <c:axId val="240850432"/>
        <c:axId val="240851968"/>
      </c:lineChart>
      <c:catAx>
        <c:axId val="240850432"/>
        <c:scaling>
          <c:orientation val="minMax"/>
        </c:scaling>
        <c:delete val="0"/>
        <c:axPos val="b"/>
        <c:numFmt formatCode="General" sourceLinked="0"/>
        <c:majorTickMark val="out"/>
        <c:minorTickMark val="none"/>
        <c:tickLblPos val="low"/>
        <c:txPr>
          <a:bodyPr rot="-5400000" vert="horz"/>
          <a:lstStyle/>
          <a:p>
            <a:pPr>
              <a:defRPr sz="900">
                <a:latin typeface="Book Antiqua" panose="02040602050305030304" pitchFamily="18" charset="0"/>
              </a:defRPr>
            </a:pPr>
            <a:endParaRPr lang="sk-SK"/>
          </a:p>
        </c:txPr>
        <c:crossAx val="240851968"/>
        <c:crosses val="autoZero"/>
        <c:auto val="1"/>
        <c:lblAlgn val="ctr"/>
        <c:lblOffset val="100"/>
        <c:noMultiLvlLbl val="0"/>
      </c:catAx>
      <c:valAx>
        <c:axId val="240851968"/>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sz="900">
                <a:latin typeface="Book Antiqua" panose="02040602050305030304" pitchFamily="18" charset="0"/>
              </a:defRPr>
            </a:pPr>
            <a:endParaRPr lang="sk-SK"/>
          </a:p>
        </c:txPr>
        <c:crossAx val="240850432"/>
        <c:crosses val="autoZero"/>
        <c:crossBetween val="between"/>
      </c:valAx>
    </c:plotArea>
    <c:legend>
      <c:legendPos val="l"/>
      <c:legendEntry>
        <c:idx val="0"/>
        <c:txPr>
          <a:bodyPr/>
          <a:lstStyle/>
          <a:p>
            <a:pPr>
              <a:defRPr sz="900">
                <a:latin typeface="Book Antiqua" panose="02040602050305030304" pitchFamily="18" charset="0"/>
              </a:defRPr>
            </a:pPr>
            <a:endParaRPr lang="sk-SK"/>
          </a:p>
        </c:txPr>
      </c:legendEntry>
      <c:layout>
        <c:manualLayout>
          <c:xMode val="edge"/>
          <c:yMode val="edge"/>
          <c:x val="7.7265534159990684E-2"/>
          <c:y val="5.8396918651422443E-2"/>
          <c:w val="0.6876886040886242"/>
          <c:h val="0.17174144914513048"/>
        </c:manualLayout>
      </c:layout>
      <c:overlay val="1"/>
      <c:spPr>
        <a:noFill/>
      </c:spPr>
      <c:txPr>
        <a:bodyPr/>
        <a:lstStyle/>
        <a:p>
          <a:pPr>
            <a:defRPr sz="900">
              <a:latin typeface="Book Antiqua" panose="02040602050305030304" pitchFamily="18" charset="0"/>
            </a:defRPr>
          </a:pPr>
          <a:endParaRPr lang="sk-SK"/>
        </a:p>
      </c:txPr>
    </c:legend>
    <c:plotVisOnly val="1"/>
    <c:dispBlanksAs val="gap"/>
    <c:showDLblsOverMax val="0"/>
  </c:chart>
  <c:spPr>
    <a:ln>
      <a:noFill/>
    </a:ln>
  </c:spPr>
  <c:txPr>
    <a:bodyPr/>
    <a:lstStyle/>
    <a:p>
      <a:pPr>
        <a:defRPr sz="1000" b="0" i="0" u="none" strike="noStrike" baseline="0">
          <a:solidFill>
            <a:srgbClr val="000000"/>
          </a:solidFill>
          <a:latin typeface="Arial Narrow" pitchFamily="34" charset="0"/>
          <a:ea typeface="Calibri"/>
          <a:cs typeface="Calibri"/>
        </a:defRPr>
      </a:pPr>
      <a:endParaRPr lang="sk-SK"/>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74766611620355994"/>
        </c:manualLayout>
      </c:layout>
      <c:lineChart>
        <c:grouping val="standard"/>
        <c:varyColors val="0"/>
        <c:ser>
          <c:idx val="5"/>
          <c:order val="0"/>
          <c:tx>
            <c:strRef>
              <c:f>'prehľad SD_PSD'!$B$15</c:f>
              <c:strCache>
                <c:ptCount val="1"/>
                <c:pt idx="0">
                  <c:v>ženy SD</c:v>
                </c:pt>
              </c:strCache>
            </c:strRef>
          </c:tx>
          <c:spPr>
            <a:ln w="22225">
              <a:solidFill>
                <a:srgbClr val="FF0000"/>
              </a:solidFill>
              <a:prstDash val="solid"/>
            </a:ln>
          </c:spPr>
          <c:marker>
            <c:symbol val="none"/>
          </c:marker>
          <c:cat>
            <c:numRef>
              <c:f>'prehľad SD_PSD'!$C$13:$O$13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SD_PSD'!$C$15:$O$15</c:f>
              <c:numCache>
                <c:formatCode>General</c:formatCode>
                <c:ptCount val="13"/>
                <c:pt idx="0">
                  <c:v>36.700000000000003</c:v>
                </c:pt>
                <c:pt idx="1">
                  <c:v>36.229999999999997</c:v>
                </c:pt>
                <c:pt idx="2">
                  <c:v>33.979999999999997</c:v>
                </c:pt>
                <c:pt idx="3">
                  <c:v>33.76</c:v>
                </c:pt>
                <c:pt idx="4">
                  <c:v>35.65</c:v>
                </c:pt>
                <c:pt idx="5">
                  <c:v>35.85</c:v>
                </c:pt>
                <c:pt idx="6">
                  <c:v>36.130000000000003</c:v>
                </c:pt>
                <c:pt idx="7">
                  <c:v>39.630000000000003</c:v>
                </c:pt>
                <c:pt idx="8">
                  <c:v>38.32</c:v>
                </c:pt>
                <c:pt idx="9">
                  <c:v>40.72</c:v>
                </c:pt>
                <c:pt idx="10">
                  <c:v>40.090000000000003</c:v>
                </c:pt>
                <c:pt idx="11">
                  <c:v>40.83</c:v>
                </c:pt>
                <c:pt idx="12">
                  <c:v>41.04</c:v>
                </c:pt>
              </c:numCache>
            </c:numRef>
          </c:val>
          <c:smooth val="0"/>
          <c:extLst>
            <c:ext xmlns:c16="http://schemas.microsoft.com/office/drawing/2014/chart" uri="{C3380CC4-5D6E-409C-BE32-E72D297353CC}">
              <c16:uniqueId val="{00000000-6C89-4CF8-9177-B0998F5AF2AD}"/>
            </c:ext>
          </c:extLst>
        </c:ser>
        <c:ser>
          <c:idx val="3"/>
          <c:order val="1"/>
          <c:tx>
            <c:strRef>
              <c:f>'prehľad SD_PSD'!$B$135</c:f>
              <c:strCache>
                <c:ptCount val="1"/>
                <c:pt idx="0">
                  <c:v>ženy PSD</c:v>
                </c:pt>
              </c:strCache>
            </c:strRef>
          </c:tx>
          <c:spPr>
            <a:ln w="22225">
              <a:solidFill>
                <a:srgbClr val="F79646">
                  <a:lumMod val="75000"/>
                </a:srgbClr>
              </a:solidFill>
              <a:prstDash val="solid"/>
            </a:ln>
          </c:spPr>
          <c:marker>
            <c:symbol val="none"/>
          </c:marker>
          <c:cat>
            <c:numRef>
              <c:f>'prehľad SD_PSD'!$C$13:$O$13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SD_PSD'!$C$135:$O$135</c:f>
              <c:numCache>
                <c:formatCode>0.0</c:formatCode>
                <c:ptCount val="13"/>
                <c:pt idx="0">
                  <c:v>37.75</c:v>
                </c:pt>
                <c:pt idx="1">
                  <c:v>38.47</c:v>
                </c:pt>
                <c:pt idx="2">
                  <c:v>38.619999999999997</c:v>
                </c:pt>
                <c:pt idx="3">
                  <c:v>38.67</c:v>
                </c:pt>
                <c:pt idx="4">
                  <c:v>39.36</c:v>
                </c:pt>
                <c:pt idx="5">
                  <c:v>39.450000000000003</c:v>
                </c:pt>
                <c:pt idx="6">
                  <c:v>40.03</c:v>
                </c:pt>
                <c:pt idx="7">
                  <c:v>39.630000000000003</c:v>
                </c:pt>
                <c:pt idx="8">
                  <c:v>40.17</c:v>
                </c:pt>
                <c:pt idx="9">
                  <c:v>40.72</c:v>
                </c:pt>
                <c:pt idx="10">
                  <c:v>40.9</c:v>
                </c:pt>
                <c:pt idx="11">
                  <c:v>41.11</c:v>
                </c:pt>
                <c:pt idx="12">
                  <c:v>41.49</c:v>
                </c:pt>
              </c:numCache>
            </c:numRef>
          </c:val>
          <c:smooth val="0"/>
          <c:extLst>
            <c:ext xmlns:c16="http://schemas.microsoft.com/office/drawing/2014/chart" uri="{C3380CC4-5D6E-409C-BE32-E72D297353CC}">
              <c16:uniqueId val="{00000001-6C89-4CF8-9177-B0998F5AF2AD}"/>
            </c:ext>
          </c:extLst>
        </c:ser>
        <c:dLbls>
          <c:showLegendKey val="0"/>
          <c:showVal val="0"/>
          <c:showCatName val="0"/>
          <c:showSerName val="0"/>
          <c:showPercent val="0"/>
          <c:showBubbleSize val="0"/>
        </c:dLbls>
        <c:smooth val="0"/>
        <c:axId val="240881664"/>
        <c:axId val="240883200"/>
      </c:lineChart>
      <c:catAx>
        <c:axId val="240881664"/>
        <c:scaling>
          <c:orientation val="minMax"/>
        </c:scaling>
        <c:delete val="0"/>
        <c:axPos val="b"/>
        <c:numFmt formatCode="General" sourceLinked="0"/>
        <c:majorTickMark val="out"/>
        <c:minorTickMark val="none"/>
        <c:tickLblPos val="low"/>
        <c:txPr>
          <a:bodyPr rot="-5400000" vert="horz"/>
          <a:lstStyle/>
          <a:p>
            <a:pPr>
              <a:defRPr sz="900">
                <a:latin typeface="Book Antiqua" panose="02040602050305030304" pitchFamily="18" charset="0"/>
              </a:defRPr>
            </a:pPr>
            <a:endParaRPr lang="sk-SK"/>
          </a:p>
        </c:txPr>
        <c:crossAx val="240883200"/>
        <c:crosses val="autoZero"/>
        <c:auto val="1"/>
        <c:lblAlgn val="ctr"/>
        <c:lblOffset val="100"/>
        <c:noMultiLvlLbl val="0"/>
      </c:catAx>
      <c:valAx>
        <c:axId val="240883200"/>
        <c:scaling>
          <c:orientation val="minMax"/>
          <c:min val="30"/>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sz="900">
                <a:latin typeface="Book Antiqua" panose="02040602050305030304" pitchFamily="18" charset="0"/>
              </a:defRPr>
            </a:pPr>
            <a:endParaRPr lang="sk-SK"/>
          </a:p>
        </c:txPr>
        <c:crossAx val="240881664"/>
        <c:crosses val="autoZero"/>
        <c:crossBetween val="between"/>
      </c:valAx>
    </c:plotArea>
    <c:legend>
      <c:legendPos val="l"/>
      <c:legendEntry>
        <c:idx val="0"/>
        <c:txPr>
          <a:bodyPr/>
          <a:lstStyle/>
          <a:p>
            <a:pPr>
              <a:defRPr sz="900">
                <a:latin typeface="Book Antiqua" panose="02040602050305030304" pitchFamily="18" charset="0"/>
              </a:defRPr>
            </a:pPr>
            <a:endParaRPr lang="sk-SK"/>
          </a:p>
        </c:txPr>
      </c:legendEntry>
      <c:layout>
        <c:manualLayout>
          <c:xMode val="edge"/>
          <c:yMode val="edge"/>
          <c:x val="4.9833011274258487E-2"/>
          <c:y val="3.0446923301254009E-2"/>
          <c:w val="0.78230129630742717"/>
          <c:h val="0.22699037620297463"/>
        </c:manualLayout>
      </c:layout>
      <c:overlay val="1"/>
      <c:spPr>
        <a:noFill/>
      </c:spPr>
      <c:txPr>
        <a:bodyPr/>
        <a:lstStyle/>
        <a:p>
          <a:pPr>
            <a:defRPr sz="900">
              <a:latin typeface="Book Antiqua" panose="02040602050305030304" pitchFamily="18" charset="0"/>
            </a:defRPr>
          </a:pPr>
          <a:endParaRPr lang="sk-SK"/>
        </a:p>
      </c:txPr>
    </c:legend>
    <c:plotVisOnly val="1"/>
    <c:dispBlanksAs val="gap"/>
    <c:showDLblsOverMax val="0"/>
  </c:chart>
  <c:spPr>
    <a:ln>
      <a:noFill/>
    </a:ln>
  </c:spPr>
  <c:txPr>
    <a:bodyPr/>
    <a:lstStyle/>
    <a:p>
      <a:pPr>
        <a:defRPr sz="1000" b="0" i="0" u="none" strike="noStrike" baseline="0">
          <a:solidFill>
            <a:srgbClr val="000000"/>
          </a:solidFill>
          <a:latin typeface="Arial Narrow" pitchFamily="34" charset="0"/>
          <a:ea typeface="Calibri"/>
          <a:cs typeface="Calibri"/>
        </a:defRPr>
      </a:pPr>
      <a:endParaRPr lang="sk-SK"/>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74766611620355994"/>
        </c:manualLayout>
      </c:layout>
      <c:lineChart>
        <c:grouping val="standard"/>
        <c:varyColors val="0"/>
        <c:ser>
          <c:idx val="3"/>
          <c:order val="0"/>
          <c:tx>
            <c:strRef>
              <c:f>'prehľad SD_PSD'!$B$154</c:f>
              <c:strCache>
                <c:ptCount val="1"/>
                <c:pt idx="0">
                  <c:v>muži PSD</c:v>
                </c:pt>
              </c:strCache>
            </c:strRef>
          </c:tx>
          <c:spPr>
            <a:ln w="22225">
              <a:solidFill>
                <a:srgbClr val="2C9ADC"/>
              </a:solidFill>
              <a:prstDash val="solid"/>
            </a:ln>
          </c:spPr>
          <c:marker>
            <c:symbol val="none"/>
          </c:marker>
          <c:cat>
            <c:numRef>
              <c:f>'prehľad SD_PSD'!$C$27:$O$27</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SD_PSD'!$C$154:$O$154</c:f>
              <c:numCache>
                <c:formatCode>0.00</c:formatCode>
                <c:ptCount val="13"/>
                <c:pt idx="0">
                  <c:v>1.0318000000000001</c:v>
                </c:pt>
                <c:pt idx="1">
                  <c:v>1.2352000000000001</c:v>
                </c:pt>
                <c:pt idx="2">
                  <c:v>1.2312000000000001</c:v>
                </c:pt>
                <c:pt idx="3">
                  <c:v>1.1974</c:v>
                </c:pt>
                <c:pt idx="4">
                  <c:v>1.2279</c:v>
                </c:pt>
                <c:pt idx="5">
                  <c:v>1.1460999999999999</c:v>
                </c:pt>
                <c:pt idx="6">
                  <c:v>1.1333</c:v>
                </c:pt>
                <c:pt idx="7">
                  <c:v>1.0739000000000001</c:v>
                </c:pt>
                <c:pt idx="8">
                  <c:v>1.0785</c:v>
                </c:pt>
                <c:pt idx="9">
                  <c:v>1.0755999999999999</c:v>
                </c:pt>
                <c:pt idx="10">
                  <c:v>1.0760000000000001</c:v>
                </c:pt>
                <c:pt idx="11">
                  <c:v>1.0622</c:v>
                </c:pt>
                <c:pt idx="12">
                  <c:v>1.046</c:v>
                </c:pt>
              </c:numCache>
            </c:numRef>
          </c:val>
          <c:smooth val="1"/>
          <c:extLst>
            <c:ext xmlns:c16="http://schemas.microsoft.com/office/drawing/2014/chart" uri="{C3380CC4-5D6E-409C-BE32-E72D297353CC}">
              <c16:uniqueId val="{00000000-F809-4627-BDD1-9CBF5DD84FB4}"/>
            </c:ext>
          </c:extLst>
        </c:ser>
        <c:ser>
          <c:idx val="5"/>
          <c:order val="1"/>
          <c:tx>
            <c:strRef>
              <c:f>'prehľad SD_PSD'!$B$28</c:f>
              <c:strCache>
                <c:ptCount val="1"/>
                <c:pt idx="0">
                  <c:v>muži SD</c:v>
                </c:pt>
              </c:strCache>
            </c:strRef>
          </c:tx>
          <c:spPr>
            <a:ln w="22225">
              <a:solidFill>
                <a:sysClr val="windowText" lastClr="000000"/>
              </a:solidFill>
              <a:prstDash val="solid"/>
            </a:ln>
          </c:spPr>
          <c:marker>
            <c:symbol val="none"/>
          </c:marker>
          <c:cat>
            <c:numRef>
              <c:f>'prehľad SD_PSD'!$C$27:$O$27</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SD_PSD'!$C$28:$O$28</c:f>
              <c:numCache>
                <c:formatCode>General</c:formatCode>
                <c:ptCount val="13"/>
                <c:pt idx="0">
                  <c:v>1.7017</c:v>
                </c:pt>
                <c:pt idx="1">
                  <c:v>1.3614999999999999</c:v>
                </c:pt>
                <c:pt idx="2">
                  <c:v>1.2856000000000001</c:v>
                </c:pt>
                <c:pt idx="3">
                  <c:v>1.1809000000000001</c:v>
                </c:pt>
                <c:pt idx="4">
                  <c:v>1.1870000000000001</c:v>
                </c:pt>
                <c:pt idx="5">
                  <c:v>1.1654</c:v>
                </c:pt>
                <c:pt idx="6">
                  <c:v>1.1436999999999999</c:v>
                </c:pt>
                <c:pt idx="7">
                  <c:v>1.1313</c:v>
                </c:pt>
                <c:pt idx="8">
                  <c:v>1.1319999999999999</c:v>
                </c:pt>
                <c:pt idx="9">
                  <c:v>1.1336999999999999</c:v>
                </c:pt>
                <c:pt idx="10">
                  <c:v>1.1255999999999999</c:v>
                </c:pt>
                <c:pt idx="11">
                  <c:v>1.1148</c:v>
                </c:pt>
                <c:pt idx="12">
                  <c:v>1.0976999999999999</c:v>
                </c:pt>
              </c:numCache>
            </c:numRef>
          </c:val>
          <c:smooth val="1"/>
          <c:extLst>
            <c:ext xmlns:c16="http://schemas.microsoft.com/office/drawing/2014/chart" uri="{C3380CC4-5D6E-409C-BE32-E72D297353CC}">
              <c16:uniqueId val="{00000001-F809-4627-BDD1-9CBF5DD84FB4}"/>
            </c:ext>
          </c:extLst>
        </c:ser>
        <c:dLbls>
          <c:showLegendKey val="0"/>
          <c:showVal val="0"/>
          <c:showCatName val="0"/>
          <c:showSerName val="0"/>
          <c:showPercent val="0"/>
          <c:showBubbleSize val="0"/>
        </c:dLbls>
        <c:smooth val="0"/>
        <c:axId val="243230976"/>
        <c:axId val="243232768"/>
      </c:lineChart>
      <c:catAx>
        <c:axId val="243230976"/>
        <c:scaling>
          <c:orientation val="minMax"/>
        </c:scaling>
        <c:delete val="0"/>
        <c:axPos val="b"/>
        <c:numFmt formatCode="General" sourceLinked="0"/>
        <c:majorTickMark val="out"/>
        <c:minorTickMark val="none"/>
        <c:tickLblPos val="low"/>
        <c:txPr>
          <a:bodyPr rot="-5400000" vert="horz"/>
          <a:lstStyle/>
          <a:p>
            <a:pPr>
              <a:defRPr sz="900"/>
            </a:pPr>
            <a:endParaRPr lang="sk-SK"/>
          </a:p>
        </c:txPr>
        <c:crossAx val="243232768"/>
        <c:crosses val="autoZero"/>
        <c:auto val="1"/>
        <c:lblAlgn val="ctr"/>
        <c:lblOffset val="100"/>
        <c:noMultiLvlLbl val="0"/>
      </c:catAx>
      <c:valAx>
        <c:axId val="243232768"/>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a:pPr>
            <a:endParaRPr lang="sk-SK"/>
          </a:p>
        </c:txPr>
        <c:crossAx val="243230976"/>
        <c:crosses val="autoZero"/>
        <c:crossBetween val="between"/>
      </c:valAx>
    </c:plotArea>
    <c:legend>
      <c:legendPos val="l"/>
      <c:legendEntry>
        <c:idx val="1"/>
        <c:txPr>
          <a:bodyPr/>
          <a:lstStyle/>
          <a:p>
            <a:pPr>
              <a:defRPr sz="900"/>
            </a:pPr>
            <a:endParaRPr lang="sk-SK"/>
          </a:p>
        </c:txPr>
      </c:legendEntry>
      <c:layout>
        <c:manualLayout>
          <c:xMode val="edge"/>
          <c:yMode val="edge"/>
          <c:x val="0.15"/>
          <c:y val="4.4335812190142931E-2"/>
          <c:w val="0.72969696308737031"/>
          <c:h val="0.30569408983451535"/>
        </c:manualLayout>
      </c:layout>
      <c:overlay val="1"/>
      <c:spPr>
        <a:noFill/>
      </c:spPr>
      <c:txPr>
        <a:bodyPr/>
        <a:lstStyle/>
        <a:p>
          <a:pPr>
            <a:defRPr sz="900"/>
          </a:pPr>
          <a:endParaRPr lang="sk-SK"/>
        </a:p>
      </c:txPr>
    </c:legend>
    <c:plotVisOnly val="1"/>
    <c:dispBlanksAs val="gap"/>
    <c:showDLblsOverMax val="0"/>
  </c:chart>
  <c:spPr>
    <a:ln>
      <a:noFill/>
    </a:ln>
  </c:spPr>
  <c:txPr>
    <a:bodyPr/>
    <a:lstStyle/>
    <a:p>
      <a:pPr>
        <a:defRPr sz="1000" b="0" i="0" u="none" strike="noStrike" baseline="0">
          <a:solidFill>
            <a:srgbClr val="000000"/>
          </a:solidFill>
          <a:latin typeface="Book Antiqua" panose="02040602050305030304" pitchFamily="18" charset="0"/>
          <a:ea typeface="Calibri"/>
          <a:cs typeface="Calibri"/>
        </a:defRPr>
      </a:pPr>
      <a:endParaRPr lang="sk-SK"/>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74766611620355994"/>
        </c:manualLayout>
      </c:layout>
      <c:lineChart>
        <c:grouping val="standard"/>
        <c:varyColors val="0"/>
        <c:ser>
          <c:idx val="3"/>
          <c:order val="0"/>
          <c:tx>
            <c:strRef>
              <c:f>'prehľad SD_PSD'!$B$155</c:f>
              <c:strCache>
                <c:ptCount val="1"/>
                <c:pt idx="0">
                  <c:v>ženy PSD</c:v>
                </c:pt>
              </c:strCache>
            </c:strRef>
          </c:tx>
          <c:spPr>
            <a:ln w="22225">
              <a:solidFill>
                <a:srgbClr val="F79646">
                  <a:lumMod val="75000"/>
                </a:srgbClr>
              </a:solidFill>
              <a:prstDash val="solid"/>
            </a:ln>
          </c:spPr>
          <c:marker>
            <c:symbol val="none"/>
          </c:marker>
          <c:cat>
            <c:numRef>
              <c:f>'prehľad SD_PSD'!$C$27:$O$27</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SD_PSD'!$C$155:$O$155</c:f>
              <c:numCache>
                <c:formatCode>0.00</c:formatCode>
                <c:ptCount val="13"/>
                <c:pt idx="0">
                  <c:v>0.86029999999999995</c:v>
                </c:pt>
                <c:pt idx="1">
                  <c:v>1.0634999999999999</c:v>
                </c:pt>
                <c:pt idx="2">
                  <c:v>0.96050000000000002</c:v>
                </c:pt>
                <c:pt idx="3">
                  <c:v>0.92510000000000003</c:v>
                </c:pt>
                <c:pt idx="4">
                  <c:v>0.91700000000000004</c:v>
                </c:pt>
                <c:pt idx="5">
                  <c:v>0.8498</c:v>
                </c:pt>
                <c:pt idx="6">
                  <c:v>0.88129999999999997</c:v>
                </c:pt>
                <c:pt idx="7">
                  <c:v>0.83830000000000005</c:v>
                </c:pt>
                <c:pt idx="8">
                  <c:v>0.84150000000000003</c:v>
                </c:pt>
                <c:pt idx="9">
                  <c:v>0.84799999999999998</c:v>
                </c:pt>
                <c:pt idx="10">
                  <c:v>0.83789999999999998</c:v>
                </c:pt>
                <c:pt idx="11">
                  <c:v>0.83289999999999997</c:v>
                </c:pt>
                <c:pt idx="12">
                  <c:v>0.81540000000000001</c:v>
                </c:pt>
              </c:numCache>
            </c:numRef>
          </c:val>
          <c:smooth val="1"/>
          <c:extLst>
            <c:ext xmlns:c16="http://schemas.microsoft.com/office/drawing/2014/chart" uri="{C3380CC4-5D6E-409C-BE32-E72D297353CC}">
              <c16:uniqueId val="{00000000-4D06-4295-8851-0EC735DA6389}"/>
            </c:ext>
          </c:extLst>
        </c:ser>
        <c:ser>
          <c:idx val="5"/>
          <c:order val="1"/>
          <c:tx>
            <c:strRef>
              <c:f>'prehľad SD_PSD'!$B$29</c:f>
              <c:strCache>
                <c:ptCount val="1"/>
                <c:pt idx="0">
                  <c:v>ženy SD</c:v>
                </c:pt>
              </c:strCache>
            </c:strRef>
          </c:tx>
          <c:spPr>
            <a:ln w="22225">
              <a:solidFill>
                <a:srgbClr val="FF0000"/>
              </a:solidFill>
              <a:prstDash val="solid"/>
            </a:ln>
          </c:spPr>
          <c:marker>
            <c:symbol val="none"/>
          </c:marker>
          <c:cat>
            <c:numRef>
              <c:f>'prehľad SD_PSD'!$C$27:$O$27</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SD_PSD'!$C$29:$O$29</c:f>
              <c:numCache>
                <c:formatCode>General</c:formatCode>
                <c:ptCount val="13"/>
                <c:pt idx="0">
                  <c:v>1.3512999999999999</c:v>
                </c:pt>
                <c:pt idx="1">
                  <c:v>0.94769999999999999</c:v>
                </c:pt>
                <c:pt idx="2">
                  <c:v>0.78169999999999995</c:v>
                </c:pt>
                <c:pt idx="3">
                  <c:v>0.73939999999999995</c:v>
                </c:pt>
                <c:pt idx="4">
                  <c:v>0.74929999999999997</c:v>
                </c:pt>
                <c:pt idx="5">
                  <c:v>0.77629999999999999</c:v>
                </c:pt>
                <c:pt idx="6">
                  <c:v>0.73160000000000003</c:v>
                </c:pt>
                <c:pt idx="7">
                  <c:v>0.73629999999999995</c:v>
                </c:pt>
                <c:pt idx="8">
                  <c:v>0.75449999999999995</c:v>
                </c:pt>
                <c:pt idx="9">
                  <c:v>0.79579999999999995</c:v>
                </c:pt>
                <c:pt idx="10">
                  <c:v>0.79459999999999997</c:v>
                </c:pt>
                <c:pt idx="11">
                  <c:v>0.79679999999999995</c:v>
                </c:pt>
                <c:pt idx="12">
                  <c:v>0.80830000000000002</c:v>
                </c:pt>
              </c:numCache>
            </c:numRef>
          </c:val>
          <c:smooth val="1"/>
          <c:extLst>
            <c:ext xmlns:c16="http://schemas.microsoft.com/office/drawing/2014/chart" uri="{C3380CC4-5D6E-409C-BE32-E72D297353CC}">
              <c16:uniqueId val="{00000001-4D06-4295-8851-0EC735DA6389}"/>
            </c:ext>
          </c:extLst>
        </c:ser>
        <c:dLbls>
          <c:showLegendKey val="0"/>
          <c:showVal val="0"/>
          <c:showCatName val="0"/>
          <c:showSerName val="0"/>
          <c:showPercent val="0"/>
          <c:showBubbleSize val="0"/>
        </c:dLbls>
        <c:smooth val="0"/>
        <c:axId val="243266304"/>
        <c:axId val="243267840"/>
      </c:lineChart>
      <c:catAx>
        <c:axId val="243266304"/>
        <c:scaling>
          <c:orientation val="minMax"/>
        </c:scaling>
        <c:delete val="0"/>
        <c:axPos val="b"/>
        <c:numFmt formatCode="General" sourceLinked="0"/>
        <c:majorTickMark val="out"/>
        <c:minorTickMark val="none"/>
        <c:tickLblPos val="low"/>
        <c:txPr>
          <a:bodyPr rot="-5400000" vert="horz"/>
          <a:lstStyle/>
          <a:p>
            <a:pPr>
              <a:defRPr sz="900">
                <a:latin typeface="Book Antiqua" panose="02040602050305030304" pitchFamily="18" charset="0"/>
              </a:defRPr>
            </a:pPr>
            <a:endParaRPr lang="sk-SK"/>
          </a:p>
        </c:txPr>
        <c:crossAx val="243267840"/>
        <c:crosses val="autoZero"/>
        <c:auto val="1"/>
        <c:lblAlgn val="ctr"/>
        <c:lblOffset val="100"/>
        <c:noMultiLvlLbl val="0"/>
      </c:catAx>
      <c:valAx>
        <c:axId val="243267840"/>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sz="900">
                <a:latin typeface="Book Antiqua" panose="02040602050305030304" pitchFamily="18" charset="0"/>
              </a:defRPr>
            </a:pPr>
            <a:endParaRPr lang="sk-SK"/>
          </a:p>
        </c:txPr>
        <c:crossAx val="243266304"/>
        <c:crosses val="autoZero"/>
        <c:crossBetween val="between"/>
      </c:valAx>
    </c:plotArea>
    <c:legend>
      <c:legendPos val="l"/>
      <c:legendEntry>
        <c:idx val="1"/>
        <c:txPr>
          <a:bodyPr/>
          <a:lstStyle/>
          <a:p>
            <a:pPr>
              <a:defRPr sz="900"/>
            </a:pPr>
            <a:endParaRPr lang="sk-SK"/>
          </a:p>
        </c:txPr>
      </c:legendEntry>
      <c:layout>
        <c:manualLayout>
          <c:xMode val="edge"/>
          <c:yMode val="edge"/>
          <c:x val="0.15"/>
          <c:y val="7.0309847632682276E-2"/>
          <c:w val="0.79205019377780683"/>
          <c:h val="0.28013870429303167"/>
        </c:manualLayout>
      </c:layout>
      <c:overlay val="1"/>
      <c:spPr>
        <a:noFill/>
      </c:spPr>
      <c:txPr>
        <a:bodyPr/>
        <a:lstStyle/>
        <a:p>
          <a:pPr>
            <a:defRPr sz="900"/>
          </a:pPr>
          <a:endParaRPr lang="sk-SK"/>
        </a:p>
      </c:txPr>
    </c:legend>
    <c:plotVisOnly val="1"/>
    <c:dispBlanksAs val="gap"/>
    <c:showDLblsOverMax val="0"/>
  </c:chart>
  <c:spPr>
    <a:ln>
      <a:noFill/>
    </a:ln>
  </c:spPr>
  <c:txPr>
    <a:bodyPr/>
    <a:lstStyle/>
    <a:p>
      <a:pPr>
        <a:defRPr sz="1000" b="0" i="0" u="none" strike="noStrike" baseline="0">
          <a:solidFill>
            <a:srgbClr val="000000"/>
          </a:solidFill>
          <a:latin typeface="Arial Narrow" pitchFamily="34" charset="0"/>
          <a:ea typeface="Calibri"/>
          <a:cs typeface="Calibri"/>
        </a:defRPr>
      </a:pPr>
      <a:endParaRPr lang="sk-SK"/>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9196809114457"/>
          <c:y val="0.12834826681147615"/>
          <c:w val="0.75422516994587741"/>
          <c:h val="0.55822506561679786"/>
        </c:manualLayout>
      </c:layout>
      <c:barChart>
        <c:barDir val="col"/>
        <c:grouping val="clustered"/>
        <c:varyColors val="0"/>
        <c:ser>
          <c:idx val="0"/>
          <c:order val="0"/>
          <c:spPr>
            <a:solidFill>
              <a:schemeClr val="bg1">
                <a:lumMod val="50000"/>
              </a:schemeClr>
            </a:solidFill>
          </c:spPr>
          <c:invertIfNegative val="0"/>
          <c:cat>
            <c:strRef>
              <c:f>'Tabuľka č. 2'!$P$9:$P$15</c:f>
              <c:strCache>
                <c:ptCount val="7"/>
                <c:pt idx="0">
                  <c:v>0-500</c:v>
                </c:pt>
                <c:pt idx="1">
                  <c:v>500-1000</c:v>
                </c:pt>
                <c:pt idx="2">
                  <c:v>1000-1500</c:v>
                </c:pt>
                <c:pt idx="3">
                  <c:v>1500-2000</c:v>
                </c:pt>
                <c:pt idx="4">
                  <c:v>2000-2500</c:v>
                </c:pt>
                <c:pt idx="5">
                  <c:v>2500-3000</c:v>
                </c:pt>
                <c:pt idx="6">
                  <c:v>3000+</c:v>
                </c:pt>
              </c:strCache>
            </c:strRef>
          </c:cat>
          <c:val>
            <c:numRef>
              <c:f>'Tabuľka č. 2'!$R$9:$R$15</c:f>
              <c:numCache>
                <c:formatCode>0%</c:formatCode>
                <c:ptCount val="7"/>
                <c:pt idx="0">
                  <c:v>1.4767663908338637E-2</c:v>
                </c:pt>
                <c:pt idx="1">
                  <c:v>0.25041374920432846</c:v>
                </c:pt>
                <c:pt idx="2">
                  <c:v>0.60674729471674094</c:v>
                </c:pt>
                <c:pt idx="3">
                  <c:v>0.10821133036282622</c:v>
                </c:pt>
                <c:pt idx="4">
                  <c:v>5.346912794398472E-3</c:v>
                </c:pt>
                <c:pt idx="5">
                  <c:v>0</c:v>
                </c:pt>
                <c:pt idx="6">
                  <c:v>1.4513049013367281E-2</c:v>
                </c:pt>
              </c:numCache>
            </c:numRef>
          </c:val>
          <c:extLst>
            <c:ext xmlns:c16="http://schemas.microsoft.com/office/drawing/2014/chart" uri="{C3380CC4-5D6E-409C-BE32-E72D297353CC}">
              <c16:uniqueId val="{00000000-24AF-49AC-9920-17A8B755998D}"/>
            </c:ext>
          </c:extLst>
        </c:ser>
        <c:dLbls>
          <c:showLegendKey val="0"/>
          <c:showVal val="0"/>
          <c:showCatName val="0"/>
          <c:showSerName val="0"/>
          <c:showPercent val="0"/>
          <c:showBubbleSize val="0"/>
        </c:dLbls>
        <c:gapWidth val="150"/>
        <c:axId val="243288704"/>
        <c:axId val="243294976"/>
      </c:barChart>
      <c:catAx>
        <c:axId val="243288704"/>
        <c:scaling>
          <c:orientation val="minMax"/>
        </c:scaling>
        <c:delete val="0"/>
        <c:axPos val="b"/>
        <c:title>
          <c:tx>
            <c:rich>
              <a:bodyPr/>
              <a:lstStyle/>
              <a:p>
                <a:pPr>
                  <a:defRPr sz="900">
                    <a:latin typeface="Book Antiqua" pitchFamily="18" charset="0"/>
                  </a:defRPr>
                </a:pPr>
                <a:r>
                  <a:rPr lang="sk-SK" sz="900">
                    <a:latin typeface="Book Antiqua" pitchFamily="18" charset="0"/>
                  </a:rPr>
                  <a:t>Výška mesačného vymeriavacieho základu (v eur)</a:t>
                </a:r>
              </a:p>
            </c:rich>
          </c:tx>
          <c:layout>
            <c:manualLayout>
              <c:xMode val="edge"/>
              <c:yMode val="edge"/>
              <c:x val="0.27497091605316909"/>
              <c:y val="0.85198019440270245"/>
            </c:manualLayout>
          </c:layout>
          <c:overlay val="0"/>
        </c:title>
        <c:numFmt formatCode="General" sourceLinked="0"/>
        <c:majorTickMark val="out"/>
        <c:minorTickMark val="none"/>
        <c:tickLblPos val="nextTo"/>
        <c:txPr>
          <a:bodyPr/>
          <a:lstStyle/>
          <a:p>
            <a:pPr>
              <a:defRPr sz="900">
                <a:latin typeface="Book Antiqua" pitchFamily="18" charset="0"/>
              </a:defRPr>
            </a:pPr>
            <a:endParaRPr lang="sk-SK"/>
          </a:p>
        </c:txPr>
        <c:crossAx val="243294976"/>
        <c:crosses val="autoZero"/>
        <c:auto val="1"/>
        <c:lblAlgn val="ctr"/>
        <c:lblOffset val="100"/>
        <c:noMultiLvlLbl val="0"/>
      </c:catAx>
      <c:valAx>
        <c:axId val="243294976"/>
        <c:scaling>
          <c:orientation val="minMax"/>
        </c:scaling>
        <c:delete val="0"/>
        <c:axPos val="l"/>
        <c:majorGridlines/>
        <c:title>
          <c:tx>
            <c:rich>
              <a:bodyPr rot="-5400000" vert="horz"/>
              <a:lstStyle/>
              <a:p>
                <a:pPr>
                  <a:defRPr sz="900">
                    <a:latin typeface="Book Antiqua" pitchFamily="18" charset="0"/>
                  </a:defRPr>
                </a:pPr>
                <a:r>
                  <a:rPr lang="sk-SK" sz="900">
                    <a:latin typeface="Book Antiqua" pitchFamily="18" charset="0"/>
                  </a:rPr>
                  <a:t>Percentuálny podiel zo všetkých kontrolovaných rizikárov</a:t>
                </a:r>
              </a:p>
            </c:rich>
          </c:tx>
          <c:layout>
            <c:manualLayout>
              <c:xMode val="edge"/>
              <c:yMode val="edge"/>
              <c:x val="2.0769137099420659E-2"/>
              <c:y val="4.4859239486496297E-2"/>
            </c:manualLayout>
          </c:layout>
          <c:overlay val="0"/>
        </c:title>
        <c:numFmt formatCode="0%" sourceLinked="1"/>
        <c:majorTickMark val="out"/>
        <c:minorTickMark val="none"/>
        <c:tickLblPos val="nextTo"/>
        <c:txPr>
          <a:bodyPr/>
          <a:lstStyle/>
          <a:p>
            <a:pPr>
              <a:defRPr sz="900">
                <a:latin typeface="Book Antiqua" pitchFamily="18" charset="0"/>
              </a:defRPr>
            </a:pPr>
            <a:endParaRPr lang="sk-SK"/>
          </a:p>
        </c:txPr>
        <c:crossAx val="243288704"/>
        <c:crosses val="autoZero"/>
        <c:crossBetween val="between"/>
      </c:valAx>
    </c:plotArea>
    <c:plotVisOnly val="1"/>
    <c:dispBlanksAs val="gap"/>
    <c:showDLblsOverMax val="0"/>
  </c:chart>
  <c:spPr>
    <a:ln>
      <a:solidFill>
        <a:schemeClr val="bg1">
          <a:lumMod val="50000"/>
        </a:schemeClr>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766207882551267"/>
          <c:y val="8.4437714516454654E-2"/>
          <c:w val="0.87917068902972495"/>
          <c:h val="0.74766611620355994"/>
        </c:manualLayout>
      </c:layout>
      <c:lineChart>
        <c:grouping val="standard"/>
        <c:varyColors val="0"/>
        <c:ser>
          <c:idx val="3"/>
          <c:order val="0"/>
          <c:tx>
            <c:strRef>
              <c:f>'prehľad SD_PSD'!$B$21</c:f>
              <c:strCache>
                <c:ptCount val="1"/>
                <c:pt idx="0">
                  <c:v>muži </c:v>
                </c:pt>
              </c:strCache>
            </c:strRef>
          </c:tx>
          <c:spPr>
            <a:ln w="22225">
              <a:solidFill>
                <a:srgbClr val="2C9ADC"/>
              </a:solidFill>
              <a:prstDash val="solid"/>
            </a:ln>
          </c:spPr>
          <c:marker>
            <c:symbol val="none"/>
          </c:marker>
          <c:cat>
            <c:numRef>
              <c:f>'prehľad SD_PSD'!$C$20:$O$20</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SD_PSD'!$C$21:$O$21</c:f>
              <c:numCache>
                <c:formatCode>General</c:formatCode>
                <c:ptCount val="13"/>
                <c:pt idx="0">
                  <c:v>61.4</c:v>
                </c:pt>
                <c:pt idx="1">
                  <c:v>60.7</c:v>
                </c:pt>
                <c:pt idx="2">
                  <c:v>60.2</c:v>
                </c:pt>
                <c:pt idx="3">
                  <c:v>60.7</c:v>
                </c:pt>
                <c:pt idx="4">
                  <c:v>61.6</c:v>
                </c:pt>
                <c:pt idx="5">
                  <c:v>61.8</c:v>
                </c:pt>
                <c:pt idx="6">
                  <c:v>61.7</c:v>
                </c:pt>
                <c:pt idx="7">
                  <c:v>61.8</c:v>
                </c:pt>
                <c:pt idx="8">
                  <c:v>61.8</c:v>
                </c:pt>
                <c:pt idx="9">
                  <c:v>61.9</c:v>
                </c:pt>
                <c:pt idx="10">
                  <c:v>61.9</c:v>
                </c:pt>
                <c:pt idx="11">
                  <c:v>62</c:v>
                </c:pt>
                <c:pt idx="12">
                  <c:v>61.9</c:v>
                </c:pt>
              </c:numCache>
            </c:numRef>
          </c:val>
          <c:smooth val="1"/>
          <c:extLst>
            <c:ext xmlns:c16="http://schemas.microsoft.com/office/drawing/2014/chart" uri="{C3380CC4-5D6E-409C-BE32-E72D297353CC}">
              <c16:uniqueId val="{00000000-CAE8-4352-A075-BFE42C4A3515}"/>
            </c:ext>
          </c:extLst>
        </c:ser>
        <c:ser>
          <c:idx val="5"/>
          <c:order val="1"/>
          <c:tx>
            <c:strRef>
              <c:f>'prehľad SD_PSD'!$B$22</c:f>
              <c:strCache>
                <c:ptCount val="1"/>
                <c:pt idx="0">
                  <c:v>ženy</c:v>
                </c:pt>
              </c:strCache>
            </c:strRef>
          </c:tx>
          <c:spPr>
            <a:ln w="22225">
              <a:solidFill>
                <a:sysClr val="windowText" lastClr="000000"/>
              </a:solidFill>
              <a:prstDash val="solid"/>
            </a:ln>
          </c:spPr>
          <c:marker>
            <c:symbol val="none"/>
          </c:marker>
          <c:cat>
            <c:numRef>
              <c:f>'prehľad SD_PSD'!$C$20:$O$20</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SD_PSD'!$C$22:$O$22</c:f>
              <c:numCache>
                <c:formatCode>General</c:formatCode>
                <c:ptCount val="13"/>
                <c:pt idx="0">
                  <c:v>56.8</c:v>
                </c:pt>
                <c:pt idx="1">
                  <c:v>56</c:v>
                </c:pt>
                <c:pt idx="2">
                  <c:v>56.8</c:v>
                </c:pt>
                <c:pt idx="3">
                  <c:v>58</c:v>
                </c:pt>
                <c:pt idx="4">
                  <c:v>57.6</c:v>
                </c:pt>
                <c:pt idx="5">
                  <c:v>57.2</c:v>
                </c:pt>
                <c:pt idx="6">
                  <c:v>57.9</c:v>
                </c:pt>
                <c:pt idx="7">
                  <c:v>58.2</c:v>
                </c:pt>
                <c:pt idx="8">
                  <c:v>57.9</c:v>
                </c:pt>
                <c:pt idx="9">
                  <c:v>58.7</c:v>
                </c:pt>
                <c:pt idx="10">
                  <c:v>58.9</c:v>
                </c:pt>
                <c:pt idx="11">
                  <c:v>59.9</c:v>
                </c:pt>
                <c:pt idx="12">
                  <c:v>60</c:v>
                </c:pt>
              </c:numCache>
            </c:numRef>
          </c:val>
          <c:smooth val="1"/>
          <c:extLst>
            <c:ext xmlns:c16="http://schemas.microsoft.com/office/drawing/2014/chart" uri="{C3380CC4-5D6E-409C-BE32-E72D297353CC}">
              <c16:uniqueId val="{00000001-CAE8-4352-A075-BFE42C4A3515}"/>
            </c:ext>
          </c:extLst>
        </c:ser>
        <c:dLbls>
          <c:showLegendKey val="0"/>
          <c:showVal val="0"/>
          <c:showCatName val="0"/>
          <c:showSerName val="0"/>
          <c:showPercent val="0"/>
          <c:showBubbleSize val="0"/>
        </c:dLbls>
        <c:smooth val="0"/>
        <c:axId val="236923520"/>
        <c:axId val="236925312"/>
      </c:lineChart>
      <c:catAx>
        <c:axId val="236923520"/>
        <c:scaling>
          <c:orientation val="minMax"/>
        </c:scaling>
        <c:delete val="0"/>
        <c:axPos val="b"/>
        <c:numFmt formatCode="General" sourceLinked="0"/>
        <c:majorTickMark val="out"/>
        <c:minorTickMark val="none"/>
        <c:tickLblPos val="low"/>
        <c:txPr>
          <a:bodyPr rot="-5400000" vert="horz"/>
          <a:lstStyle/>
          <a:p>
            <a:pPr>
              <a:defRPr sz="900">
                <a:latin typeface="Book Antiqua" panose="02040602050305030304" pitchFamily="18" charset="0"/>
              </a:defRPr>
            </a:pPr>
            <a:endParaRPr lang="sk-SK"/>
          </a:p>
        </c:txPr>
        <c:crossAx val="236925312"/>
        <c:crosses val="autoZero"/>
        <c:auto val="1"/>
        <c:lblAlgn val="ctr"/>
        <c:lblOffset val="100"/>
        <c:noMultiLvlLbl val="0"/>
      </c:catAx>
      <c:valAx>
        <c:axId val="236925312"/>
        <c:scaling>
          <c:orientation val="minMax"/>
          <c:min val="53"/>
        </c:scaling>
        <c:delete val="0"/>
        <c:axPos val="l"/>
        <c:majorGridlines>
          <c:spPr>
            <a:ln>
              <a:solidFill>
                <a:schemeClr val="bg1">
                  <a:lumMod val="75000"/>
                </a:schemeClr>
              </a:solidFill>
              <a:prstDash val="sysDash"/>
            </a:ln>
          </c:spPr>
        </c:majorGridlines>
        <c:title>
          <c:tx>
            <c:rich>
              <a:bodyPr rot="-5400000" vert="horz"/>
              <a:lstStyle/>
              <a:p>
                <a:pPr>
                  <a:defRPr>
                    <a:latin typeface="Book Antiqua" panose="02040602050305030304" pitchFamily="18" charset="0"/>
                  </a:defRPr>
                </a:pPr>
                <a:r>
                  <a:rPr lang="sk-SK">
                    <a:latin typeface="Book Antiqua" panose="02040602050305030304" pitchFamily="18" charset="0"/>
                  </a:rPr>
                  <a:t>Priemerný</a:t>
                </a:r>
                <a:r>
                  <a:rPr lang="sk-SK" baseline="0">
                    <a:latin typeface="Book Antiqua" panose="02040602050305030304" pitchFamily="18" charset="0"/>
                  </a:rPr>
                  <a:t> vek odchodu do dôchodku</a:t>
                </a:r>
              </a:p>
              <a:p>
                <a:pPr>
                  <a:defRPr>
                    <a:latin typeface="Book Antiqua" panose="02040602050305030304" pitchFamily="18" charset="0"/>
                  </a:defRPr>
                </a:pPr>
                <a:endParaRPr lang="sk-SK" baseline="0">
                  <a:latin typeface="Book Antiqua" panose="02040602050305030304" pitchFamily="18" charset="0"/>
                </a:endParaRPr>
              </a:p>
            </c:rich>
          </c:tx>
          <c:overlay val="0"/>
        </c:title>
        <c:numFmt formatCode="#,##0" sourceLinked="0"/>
        <c:majorTickMark val="out"/>
        <c:minorTickMark val="none"/>
        <c:tickLblPos val="nextTo"/>
        <c:txPr>
          <a:bodyPr rot="0" vert="horz"/>
          <a:lstStyle/>
          <a:p>
            <a:pPr>
              <a:defRPr sz="900">
                <a:latin typeface="Book Antiqua" panose="02040602050305030304" pitchFamily="18" charset="0"/>
              </a:defRPr>
            </a:pPr>
            <a:endParaRPr lang="sk-SK"/>
          </a:p>
        </c:txPr>
        <c:crossAx val="236923520"/>
        <c:crosses val="autoZero"/>
        <c:crossBetween val="between"/>
      </c:valAx>
    </c:plotArea>
    <c:legend>
      <c:legendPos val="l"/>
      <c:legendEntry>
        <c:idx val="0"/>
        <c:txPr>
          <a:bodyPr/>
          <a:lstStyle/>
          <a:p>
            <a:pPr>
              <a:defRPr sz="1200"/>
            </a:pPr>
            <a:endParaRPr lang="sk-SK"/>
          </a:p>
        </c:txPr>
      </c:legendEntry>
      <c:legendEntry>
        <c:idx val="1"/>
        <c:txPr>
          <a:bodyPr/>
          <a:lstStyle/>
          <a:p>
            <a:pPr>
              <a:defRPr sz="1050"/>
            </a:pPr>
            <a:endParaRPr lang="sk-SK"/>
          </a:p>
        </c:txPr>
      </c:legendEntry>
      <c:layout>
        <c:manualLayout>
          <c:xMode val="edge"/>
          <c:yMode val="edge"/>
          <c:x val="0.5402438597614323"/>
          <c:y val="0.51655803441236514"/>
          <c:w val="0.44345505235958105"/>
          <c:h val="0.26865704286964132"/>
        </c:manualLayout>
      </c:layout>
      <c:overlay val="1"/>
      <c:spPr>
        <a:noFill/>
      </c:spPr>
      <c:txPr>
        <a:bodyPr/>
        <a:lstStyle/>
        <a:p>
          <a:pPr>
            <a:defRPr sz="900"/>
          </a:pPr>
          <a:endParaRPr lang="sk-SK"/>
        </a:p>
      </c:txPr>
    </c:legend>
    <c:plotVisOnly val="1"/>
    <c:dispBlanksAs val="gap"/>
    <c:showDLblsOverMax val="0"/>
  </c:chart>
  <c:spPr>
    <a:ln>
      <a:solidFill>
        <a:sysClr val="windowText" lastClr="000000"/>
      </a:solidFill>
    </a:ln>
  </c:spPr>
  <c:txPr>
    <a:bodyPr/>
    <a:lstStyle/>
    <a:p>
      <a:pPr>
        <a:defRPr sz="1000" b="0" i="0" u="none" strike="noStrike" baseline="0">
          <a:solidFill>
            <a:srgbClr val="000000"/>
          </a:solidFill>
          <a:latin typeface="Arial Narrow" pitchFamily="34" charset="0"/>
          <a:ea typeface="Calibri"/>
          <a:cs typeface="Calibri"/>
        </a:defRPr>
      </a:pPr>
      <a:endParaRPr lang="sk-S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0"/>
      <c:depthPercent val="100"/>
      <c:rAngAx val="1"/>
    </c:view3D>
    <c:floor>
      <c:thickness val="0"/>
      <c:spPr>
        <a:noFill/>
        <a:ln w="9525">
          <a:noFill/>
        </a:ln>
      </c:spPr>
    </c:floor>
    <c:sideWall>
      <c:thickness val="0"/>
    </c:sideWall>
    <c:backWall>
      <c:thickness val="0"/>
    </c:backWall>
    <c:plotArea>
      <c:layout>
        <c:manualLayout>
          <c:layoutTarget val="inner"/>
          <c:xMode val="edge"/>
          <c:yMode val="edge"/>
          <c:x val="8.8416874719928304E-2"/>
          <c:y val="0.15313684747739867"/>
          <c:w val="0.88102761076066238"/>
          <c:h val="0.49631926217556138"/>
        </c:manualLayout>
      </c:layout>
      <c:bar3DChart>
        <c:barDir val="col"/>
        <c:grouping val="clustered"/>
        <c:varyColors val="0"/>
        <c:ser>
          <c:idx val="0"/>
          <c:order val="0"/>
          <c:tx>
            <c:strRef>
              <c:f>'prehľad SD_PSD'!$C$95</c:f>
              <c:strCache>
                <c:ptCount val="1"/>
                <c:pt idx="0">
                  <c:v>2006</c:v>
                </c:pt>
              </c:strCache>
            </c:strRef>
          </c:tx>
          <c:spPr>
            <a:gradFill>
              <a:gsLst>
                <a:gs pos="0">
                  <a:srgbClr val="C0170A"/>
                </a:gs>
                <a:gs pos="50000">
                  <a:schemeClr val="accent1">
                    <a:tint val="44500"/>
                    <a:satMod val="160000"/>
                  </a:schemeClr>
                </a:gs>
                <a:gs pos="100000">
                  <a:schemeClr val="accent1">
                    <a:tint val="23500"/>
                    <a:satMod val="160000"/>
                  </a:schemeClr>
                </a:gs>
              </a:gsLst>
              <a:lin ang="5400000" scaled="0"/>
            </a:gradFill>
            <a:ln>
              <a:solidFill>
                <a:sysClr val="windowText" lastClr="000000"/>
              </a:solidFill>
            </a:ln>
          </c:spPr>
          <c:invertIfNegative val="0"/>
          <c:cat>
            <c:strRef>
              <c:f>'prehľad SD_PSD'!$O$100:$O$105</c:f>
              <c:strCache>
                <c:ptCount val="6"/>
                <c:pt idx="0">
                  <c:v>65-69</c:v>
                </c:pt>
                <c:pt idx="1">
                  <c:v>70-74</c:v>
                </c:pt>
                <c:pt idx="2">
                  <c:v>75-79</c:v>
                </c:pt>
                <c:pt idx="3">
                  <c:v>80-84</c:v>
                </c:pt>
                <c:pt idx="4">
                  <c:v>85-89</c:v>
                </c:pt>
                <c:pt idx="5">
                  <c:v>90+</c:v>
                </c:pt>
              </c:strCache>
            </c:strRef>
          </c:cat>
          <c:val>
            <c:numRef>
              <c:f>'prehľad SD_PSD'!$D$100:$D$105</c:f>
              <c:numCache>
                <c:formatCode>General</c:formatCode>
                <c:ptCount val="6"/>
                <c:pt idx="0">
                  <c:v>227</c:v>
                </c:pt>
                <c:pt idx="1">
                  <c:v>105</c:v>
                </c:pt>
                <c:pt idx="2">
                  <c:v>81</c:v>
                </c:pt>
                <c:pt idx="3">
                  <c:v>72</c:v>
                </c:pt>
                <c:pt idx="4">
                  <c:v>24</c:v>
                </c:pt>
                <c:pt idx="5">
                  <c:v>3</c:v>
                </c:pt>
              </c:numCache>
            </c:numRef>
          </c:val>
          <c:extLst>
            <c:ext xmlns:c16="http://schemas.microsoft.com/office/drawing/2014/chart" uri="{C3380CC4-5D6E-409C-BE32-E72D297353CC}">
              <c16:uniqueId val="{00000000-5089-4828-AD9E-5D416E677E83}"/>
            </c:ext>
          </c:extLst>
        </c:ser>
        <c:ser>
          <c:idx val="1"/>
          <c:order val="1"/>
          <c:tx>
            <c:strRef>
              <c:f>'prehľad SD_PSD'!$F$95</c:f>
              <c:strCache>
                <c:ptCount val="1"/>
                <c:pt idx="0">
                  <c:v>2007</c:v>
                </c:pt>
              </c:strCache>
            </c:strRef>
          </c:tx>
          <c:spPr>
            <a:gradFill>
              <a:gsLst>
                <a:gs pos="0">
                  <a:srgbClr val="0000FF"/>
                </a:gs>
                <a:gs pos="50000">
                  <a:schemeClr val="accent1">
                    <a:tint val="44500"/>
                    <a:satMod val="160000"/>
                  </a:schemeClr>
                </a:gs>
                <a:gs pos="100000">
                  <a:schemeClr val="accent1">
                    <a:tint val="23500"/>
                    <a:satMod val="160000"/>
                  </a:schemeClr>
                </a:gs>
              </a:gsLst>
              <a:lin ang="5400000" scaled="0"/>
            </a:gradFill>
            <a:ln>
              <a:solidFill>
                <a:schemeClr val="tx1"/>
              </a:solidFill>
            </a:ln>
          </c:spPr>
          <c:invertIfNegative val="0"/>
          <c:cat>
            <c:strRef>
              <c:f>'prehľad SD_PSD'!$O$100:$O$105</c:f>
              <c:strCache>
                <c:ptCount val="6"/>
                <c:pt idx="0">
                  <c:v>65-69</c:v>
                </c:pt>
                <c:pt idx="1">
                  <c:v>70-74</c:v>
                </c:pt>
                <c:pt idx="2">
                  <c:v>75-79</c:v>
                </c:pt>
                <c:pt idx="3">
                  <c:v>80-84</c:v>
                </c:pt>
                <c:pt idx="4">
                  <c:v>85-89</c:v>
                </c:pt>
                <c:pt idx="5">
                  <c:v>90+</c:v>
                </c:pt>
              </c:strCache>
            </c:strRef>
          </c:cat>
          <c:val>
            <c:numRef>
              <c:f>'prehľad SD_PSD'!$G$100:$G$105</c:f>
              <c:numCache>
                <c:formatCode>General</c:formatCode>
                <c:ptCount val="6"/>
                <c:pt idx="0">
                  <c:v>275</c:v>
                </c:pt>
                <c:pt idx="1">
                  <c:v>273</c:v>
                </c:pt>
                <c:pt idx="2">
                  <c:v>323</c:v>
                </c:pt>
                <c:pt idx="3">
                  <c:v>343</c:v>
                </c:pt>
                <c:pt idx="4">
                  <c:v>178</c:v>
                </c:pt>
                <c:pt idx="5">
                  <c:v>72</c:v>
                </c:pt>
              </c:numCache>
            </c:numRef>
          </c:val>
          <c:extLst>
            <c:ext xmlns:c16="http://schemas.microsoft.com/office/drawing/2014/chart" uri="{C3380CC4-5D6E-409C-BE32-E72D297353CC}">
              <c16:uniqueId val="{00000001-5089-4828-AD9E-5D416E677E83}"/>
            </c:ext>
          </c:extLst>
        </c:ser>
        <c:ser>
          <c:idx val="2"/>
          <c:order val="2"/>
          <c:tx>
            <c:strRef>
              <c:f>'prehľad SD_PSD'!$I$95</c:f>
              <c:strCache>
                <c:ptCount val="1"/>
                <c:pt idx="0">
                  <c:v>2008</c:v>
                </c:pt>
              </c:strCache>
            </c:strRef>
          </c:tx>
          <c:spPr>
            <a:gradFill>
              <a:gsLst>
                <a:gs pos="0">
                  <a:srgbClr val="24C709"/>
                </a:gs>
                <a:gs pos="50000">
                  <a:schemeClr val="accent1">
                    <a:tint val="44500"/>
                    <a:satMod val="160000"/>
                  </a:schemeClr>
                </a:gs>
                <a:gs pos="100000">
                  <a:schemeClr val="accent1">
                    <a:tint val="23500"/>
                    <a:satMod val="160000"/>
                  </a:schemeClr>
                </a:gs>
              </a:gsLst>
              <a:lin ang="5400000" scaled="0"/>
            </a:gradFill>
            <a:ln>
              <a:solidFill>
                <a:sysClr val="windowText" lastClr="000000"/>
              </a:solidFill>
            </a:ln>
          </c:spPr>
          <c:invertIfNegative val="0"/>
          <c:cat>
            <c:strRef>
              <c:f>'prehľad SD_PSD'!$O$100:$O$105</c:f>
              <c:strCache>
                <c:ptCount val="6"/>
                <c:pt idx="0">
                  <c:v>65-69</c:v>
                </c:pt>
                <c:pt idx="1">
                  <c:v>70-74</c:v>
                </c:pt>
                <c:pt idx="2">
                  <c:v>75-79</c:v>
                </c:pt>
                <c:pt idx="3">
                  <c:v>80-84</c:v>
                </c:pt>
                <c:pt idx="4">
                  <c:v>85-89</c:v>
                </c:pt>
                <c:pt idx="5">
                  <c:v>90+</c:v>
                </c:pt>
              </c:strCache>
            </c:strRef>
          </c:cat>
          <c:val>
            <c:numRef>
              <c:f>'prehľad SD_PSD'!$J$100:$J$105</c:f>
              <c:numCache>
                <c:formatCode>General</c:formatCode>
                <c:ptCount val="6"/>
                <c:pt idx="0">
                  <c:v>100</c:v>
                </c:pt>
                <c:pt idx="1">
                  <c:v>88</c:v>
                </c:pt>
                <c:pt idx="2">
                  <c:v>101</c:v>
                </c:pt>
                <c:pt idx="3">
                  <c:v>100</c:v>
                </c:pt>
                <c:pt idx="4">
                  <c:v>44</c:v>
                </c:pt>
                <c:pt idx="5">
                  <c:v>18</c:v>
                </c:pt>
              </c:numCache>
            </c:numRef>
          </c:val>
          <c:extLst>
            <c:ext xmlns:c16="http://schemas.microsoft.com/office/drawing/2014/chart" uri="{C3380CC4-5D6E-409C-BE32-E72D297353CC}">
              <c16:uniqueId val="{00000002-5089-4828-AD9E-5D416E677E83}"/>
            </c:ext>
          </c:extLst>
        </c:ser>
        <c:ser>
          <c:idx val="3"/>
          <c:order val="3"/>
          <c:tx>
            <c:strRef>
              <c:f>'prehľad SD_PSD'!$L$95</c:f>
              <c:strCache>
                <c:ptCount val="1"/>
                <c:pt idx="0">
                  <c:v>2009</c:v>
                </c:pt>
              </c:strCache>
            </c:strRef>
          </c:tx>
          <c:spPr>
            <a:gradFill>
              <a:gsLst>
                <a:gs pos="0">
                  <a:srgbClr val="C50BA2"/>
                </a:gs>
                <a:gs pos="50000">
                  <a:schemeClr val="accent1">
                    <a:tint val="44500"/>
                    <a:satMod val="160000"/>
                  </a:schemeClr>
                </a:gs>
                <a:gs pos="100000">
                  <a:schemeClr val="accent1">
                    <a:tint val="23500"/>
                    <a:satMod val="160000"/>
                  </a:schemeClr>
                </a:gs>
              </a:gsLst>
              <a:lin ang="5400000" scaled="0"/>
            </a:gradFill>
            <a:ln>
              <a:solidFill>
                <a:sysClr val="windowText" lastClr="000000"/>
              </a:solidFill>
            </a:ln>
          </c:spPr>
          <c:invertIfNegative val="0"/>
          <c:cat>
            <c:strRef>
              <c:f>'prehľad SD_PSD'!$O$100:$O$105</c:f>
              <c:strCache>
                <c:ptCount val="6"/>
                <c:pt idx="0">
                  <c:v>65-69</c:v>
                </c:pt>
                <c:pt idx="1">
                  <c:v>70-74</c:v>
                </c:pt>
                <c:pt idx="2">
                  <c:v>75-79</c:v>
                </c:pt>
                <c:pt idx="3">
                  <c:v>80-84</c:v>
                </c:pt>
                <c:pt idx="4">
                  <c:v>85-89</c:v>
                </c:pt>
                <c:pt idx="5">
                  <c:v>90+</c:v>
                </c:pt>
              </c:strCache>
            </c:strRef>
          </c:cat>
          <c:val>
            <c:numRef>
              <c:f>'prehľad SD_PSD'!$M$100:$M$105</c:f>
              <c:numCache>
                <c:formatCode>General</c:formatCode>
                <c:ptCount val="6"/>
                <c:pt idx="0">
                  <c:v>55</c:v>
                </c:pt>
                <c:pt idx="1">
                  <c:v>29</c:v>
                </c:pt>
                <c:pt idx="2">
                  <c:v>24</c:v>
                </c:pt>
                <c:pt idx="3">
                  <c:v>31</c:v>
                </c:pt>
                <c:pt idx="4">
                  <c:v>13</c:v>
                </c:pt>
                <c:pt idx="5">
                  <c:v>0</c:v>
                </c:pt>
              </c:numCache>
            </c:numRef>
          </c:val>
          <c:extLst>
            <c:ext xmlns:c16="http://schemas.microsoft.com/office/drawing/2014/chart" uri="{C3380CC4-5D6E-409C-BE32-E72D297353CC}">
              <c16:uniqueId val="{00000003-5089-4828-AD9E-5D416E677E83}"/>
            </c:ext>
          </c:extLst>
        </c:ser>
        <c:ser>
          <c:idx val="4"/>
          <c:order val="4"/>
          <c:tx>
            <c:strRef>
              <c:f>'prehľad SD_PSD'!$O$95</c:f>
              <c:strCache>
                <c:ptCount val="1"/>
                <c:pt idx="0">
                  <c:v>2010</c:v>
                </c:pt>
              </c:strCache>
            </c:strRef>
          </c:tx>
          <c:spPr>
            <a:gradFill>
              <a:gsLst>
                <a:gs pos="0">
                  <a:srgbClr val="F3FC82"/>
                </a:gs>
                <a:gs pos="50000">
                  <a:schemeClr val="accent1">
                    <a:tint val="44500"/>
                    <a:satMod val="160000"/>
                  </a:schemeClr>
                </a:gs>
                <a:gs pos="100000">
                  <a:schemeClr val="accent1">
                    <a:tint val="23500"/>
                    <a:satMod val="160000"/>
                  </a:schemeClr>
                </a:gs>
              </a:gsLst>
              <a:lin ang="5400000" scaled="0"/>
            </a:gradFill>
            <a:ln>
              <a:solidFill>
                <a:sysClr val="windowText" lastClr="000000"/>
              </a:solidFill>
            </a:ln>
          </c:spPr>
          <c:invertIfNegative val="0"/>
          <c:cat>
            <c:strRef>
              <c:f>'prehľad SD_PSD'!$O$100:$O$105</c:f>
              <c:strCache>
                <c:ptCount val="6"/>
                <c:pt idx="0">
                  <c:v>65-69</c:v>
                </c:pt>
                <c:pt idx="1">
                  <c:v>70-74</c:v>
                </c:pt>
                <c:pt idx="2">
                  <c:v>75-79</c:v>
                </c:pt>
                <c:pt idx="3">
                  <c:v>80-84</c:v>
                </c:pt>
                <c:pt idx="4">
                  <c:v>85-89</c:v>
                </c:pt>
                <c:pt idx="5">
                  <c:v>90+</c:v>
                </c:pt>
              </c:strCache>
            </c:strRef>
          </c:cat>
          <c:val>
            <c:numRef>
              <c:f>'prehľad SD_PSD'!$P$100:$P$105</c:f>
              <c:numCache>
                <c:formatCode>General</c:formatCode>
                <c:ptCount val="6"/>
                <c:pt idx="0">
                  <c:v>29</c:v>
                </c:pt>
                <c:pt idx="1">
                  <c:v>24</c:v>
                </c:pt>
                <c:pt idx="2">
                  <c:v>26</c:v>
                </c:pt>
                <c:pt idx="3">
                  <c:v>20</c:v>
                </c:pt>
                <c:pt idx="4">
                  <c:v>3</c:v>
                </c:pt>
                <c:pt idx="5">
                  <c:v>1</c:v>
                </c:pt>
              </c:numCache>
            </c:numRef>
          </c:val>
          <c:extLst>
            <c:ext xmlns:c16="http://schemas.microsoft.com/office/drawing/2014/chart" uri="{C3380CC4-5D6E-409C-BE32-E72D297353CC}">
              <c16:uniqueId val="{00000004-5089-4828-AD9E-5D416E677E83}"/>
            </c:ext>
          </c:extLst>
        </c:ser>
        <c:dLbls>
          <c:showLegendKey val="0"/>
          <c:showVal val="0"/>
          <c:showCatName val="0"/>
          <c:showSerName val="0"/>
          <c:showPercent val="0"/>
          <c:showBubbleSize val="0"/>
        </c:dLbls>
        <c:gapWidth val="150"/>
        <c:shape val="cylinder"/>
        <c:axId val="236962560"/>
        <c:axId val="236964096"/>
        <c:axId val="0"/>
      </c:bar3DChart>
      <c:catAx>
        <c:axId val="236962560"/>
        <c:scaling>
          <c:orientation val="minMax"/>
        </c:scaling>
        <c:delete val="0"/>
        <c:axPos val="b"/>
        <c:numFmt formatCode="General" sourceLinked="1"/>
        <c:majorTickMark val="out"/>
        <c:minorTickMark val="none"/>
        <c:tickLblPos val="low"/>
        <c:txPr>
          <a:bodyPr/>
          <a:lstStyle/>
          <a:p>
            <a:pPr>
              <a:defRPr>
                <a:latin typeface="Book Antiqua" panose="02040602050305030304" pitchFamily="18" charset="0"/>
              </a:defRPr>
            </a:pPr>
            <a:endParaRPr lang="sk-SK"/>
          </a:p>
        </c:txPr>
        <c:crossAx val="236964096"/>
        <c:crosses val="autoZero"/>
        <c:auto val="1"/>
        <c:lblAlgn val="ctr"/>
        <c:lblOffset val="300"/>
        <c:noMultiLvlLbl val="0"/>
      </c:catAx>
      <c:valAx>
        <c:axId val="236964096"/>
        <c:scaling>
          <c:orientation val="minMax"/>
        </c:scaling>
        <c:delete val="0"/>
        <c:axPos val="l"/>
        <c:majorGridlines>
          <c:spPr>
            <a:ln w="3175"/>
          </c:spPr>
        </c:majorGridlines>
        <c:numFmt formatCode="General" sourceLinked="1"/>
        <c:majorTickMark val="out"/>
        <c:minorTickMark val="none"/>
        <c:tickLblPos val="nextTo"/>
        <c:txPr>
          <a:bodyPr/>
          <a:lstStyle/>
          <a:p>
            <a:pPr>
              <a:defRPr sz="1100">
                <a:latin typeface="Book Antiqua" panose="02040602050305030304" pitchFamily="18" charset="0"/>
              </a:defRPr>
            </a:pPr>
            <a:endParaRPr lang="sk-SK"/>
          </a:p>
        </c:txPr>
        <c:crossAx val="236962560"/>
        <c:crosses val="autoZero"/>
        <c:crossBetween val="between"/>
      </c:valAx>
    </c:plotArea>
    <c:legend>
      <c:legendPos val="b"/>
      <c:layout>
        <c:manualLayout>
          <c:xMode val="edge"/>
          <c:yMode val="edge"/>
          <c:x val="0.29017122020821218"/>
          <c:y val="0.78202354913969085"/>
          <c:w val="0.41965755958357553"/>
          <c:h val="8.3717191601049873E-2"/>
        </c:manualLayout>
      </c:layout>
      <c:overlay val="0"/>
      <c:txPr>
        <a:bodyPr/>
        <a:lstStyle/>
        <a:p>
          <a:pPr>
            <a:defRPr>
              <a:latin typeface="Book Antiqua" panose="02040602050305030304" pitchFamily="18" charset="0"/>
            </a:defRPr>
          </a:pPr>
          <a:endParaRPr lang="sk-SK"/>
        </a:p>
      </c:txPr>
    </c:legend>
    <c:plotVisOnly val="1"/>
    <c:dispBlanksAs val="gap"/>
    <c:showDLblsOverMax val="0"/>
  </c:chart>
  <c:spPr>
    <a:ln>
      <a:solidFill>
        <a:schemeClr val="tx1"/>
      </a:solidFill>
    </a:ln>
    <a:scene3d>
      <a:camera prst="orthographicFront"/>
      <a:lightRig rig="threePt" dir="t"/>
    </a:scene3d>
    <a:sp3d>
      <a:bevelT w="12700"/>
    </a:sp3d>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0"/>
      <c:depthPercent val="100"/>
      <c:rAngAx val="1"/>
    </c:view3D>
    <c:floor>
      <c:thickness val="0"/>
      <c:spPr>
        <a:noFill/>
        <a:ln w="9525">
          <a:noFill/>
        </a:ln>
      </c:spPr>
    </c:floor>
    <c:sideWall>
      <c:thickness val="0"/>
    </c:sideWall>
    <c:backWall>
      <c:thickness val="0"/>
    </c:backWall>
    <c:plotArea>
      <c:layout>
        <c:manualLayout>
          <c:layoutTarget val="inner"/>
          <c:xMode val="edge"/>
          <c:yMode val="edge"/>
          <c:x val="8.8416874719928304E-2"/>
          <c:y val="7.4559569631959782E-2"/>
          <c:w val="0.88102761076066238"/>
          <c:h val="0.56538660928253537"/>
        </c:manualLayout>
      </c:layout>
      <c:bar3DChart>
        <c:barDir val="col"/>
        <c:grouping val="clustered"/>
        <c:varyColors val="0"/>
        <c:ser>
          <c:idx val="0"/>
          <c:order val="0"/>
          <c:spPr>
            <a:gradFill>
              <a:gsLst>
                <a:gs pos="0">
                  <a:srgbClr val="C0170A"/>
                </a:gs>
                <a:gs pos="50000">
                  <a:schemeClr val="accent1">
                    <a:tint val="44500"/>
                    <a:satMod val="160000"/>
                  </a:schemeClr>
                </a:gs>
                <a:gs pos="100000">
                  <a:schemeClr val="accent1">
                    <a:tint val="23500"/>
                    <a:satMod val="160000"/>
                  </a:schemeClr>
                </a:gs>
              </a:gsLst>
              <a:lin ang="5400000" scaled="0"/>
            </a:gradFill>
            <a:ln>
              <a:solidFill>
                <a:sysClr val="windowText" lastClr="000000"/>
              </a:solidFill>
            </a:ln>
          </c:spPr>
          <c:invertIfNegative val="0"/>
          <c:cat>
            <c:strRef>
              <c:f>'výsledky alt_C'!$Z$9:$Z$18</c:f>
              <c:strCache>
                <c:ptCount val="10"/>
                <c:pt idx="0">
                  <c:v>(-50eur;-30eur&gt;</c:v>
                </c:pt>
                <c:pt idx="1">
                  <c:v>(-30eur;-10eur&gt;</c:v>
                </c:pt>
                <c:pt idx="2">
                  <c:v>(-10eur;10eur&gt;</c:v>
                </c:pt>
                <c:pt idx="3">
                  <c:v>(10eur;30eur&gt;</c:v>
                </c:pt>
                <c:pt idx="4">
                  <c:v>(30eur;50eur&gt;</c:v>
                </c:pt>
                <c:pt idx="5">
                  <c:v>(50eur;70eur&gt;</c:v>
                </c:pt>
                <c:pt idx="6">
                  <c:v>(70eur;90eur&gt;</c:v>
                </c:pt>
                <c:pt idx="7">
                  <c:v>(90eur;110eur&gt;</c:v>
                </c:pt>
                <c:pt idx="8">
                  <c:v>(110eur;130eur&gt;</c:v>
                </c:pt>
                <c:pt idx="9">
                  <c:v>(130eur;150eur&gt;</c:v>
                </c:pt>
              </c:strCache>
            </c:strRef>
          </c:cat>
          <c:val>
            <c:numRef>
              <c:f>'výsledky alt_C'!$AD$9:$AD$18</c:f>
              <c:numCache>
                <c:formatCode>0.00%</c:formatCode>
                <c:ptCount val="10"/>
                <c:pt idx="0">
                  <c:v>5.7391161761088797E-4</c:v>
                </c:pt>
                <c:pt idx="1">
                  <c:v>2.082479298188079E-2</c:v>
                </c:pt>
                <c:pt idx="2">
                  <c:v>8.5307862589161274E-2</c:v>
                </c:pt>
                <c:pt idx="3">
                  <c:v>0.11215872755595638</c:v>
                </c:pt>
                <c:pt idx="4">
                  <c:v>0.24022300565712881</c:v>
                </c:pt>
                <c:pt idx="5">
                  <c:v>0.2375584160039354</c:v>
                </c:pt>
                <c:pt idx="6">
                  <c:v>0.25703041731573339</c:v>
                </c:pt>
                <c:pt idx="7">
                  <c:v>3.074526522915471E-2</c:v>
                </c:pt>
                <c:pt idx="8">
                  <c:v>1.4593752562105437E-2</c:v>
                </c:pt>
                <c:pt idx="9">
                  <c:v>9.8384848733295074E-4</c:v>
                </c:pt>
              </c:numCache>
            </c:numRef>
          </c:val>
          <c:extLst>
            <c:ext xmlns:c16="http://schemas.microsoft.com/office/drawing/2014/chart" uri="{C3380CC4-5D6E-409C-BE32-E72D297353CC}">
              <c16:uniqueId val="{00000000-BB79-40FE-A0C7-505C515669BF}"/>
            </c:ext>
          </c:extLst>
        </c:ser>
        <c:dLbls>
          <c:showLegendKey val="0"/>
          <c:showVal val="0"/>
          <c:showCatName val="0"/>
          <c:showSerName val="0"/>
          <c:showPercent val="0"/>
          <c:showBubbleSize val="0"/>
        </c:dLbls>
        <c:gapWidth val="150"/>
        <c:shape val="cylinder"/>
        <c:axId val="237779584"/>
        <c:axId val="237785472"/>
        <c:axId val="0"/>
      </c:bar3DChart>
      <c:catAx>
        <c:axId val="237779584"/>
        <c:scaling>
          <c:orientation val="minMax"/>
        </c:scaling>
        <c:delete val="0"/>
        <c:axPos val="b"/>
        <c:numFmt formatCode="General" sourceLinked="1"/>
        <c:majorTickMark val="out"/>
        <c:minorTickMark val="none"/>
        <c:tickLblPos val="low"/>
        <c:txPr>
          <a:bodyPr/>
          <a:lstStyle/>
          <a:p>
            <a:pPr>
              <a:defRPr>
                <a:latin typeface="Book Antiqua" panose="02040602050305030304" pitchFamily="18" charset="0"/>
              </a:defRPr>
            </a:pPr>
            <a:endParaRPr lang="sk-SK"/>
          </a:p>
        </c:txPr>
        <c:crossAx val="237785472"/>
        <c:crosses val="autoZero"/>
        <c:auto val="1"/>
        <c:lblAlgn val="ctr"/>
        <c:lblOffset val="300"/>
        <c:noMultiLvlLbl val="0"/>
      </c:catAx>
      <c:valAx>
        <c:axId val="237785472"/>
        <c:scaling>
          <c:orientation val="minMax"/>
        </c:scaling>
        <c:delete val="0"/>
        <c:axPos val="l"/>
        <c:majorGridlines>
          <c:spPr>
            <a:ln w="3175"/>
          </c:spPr>
        </c:majorGridlines>
        <c:numFmt formatCode="0.0%" sourceLinked="0"/>
        <c:majorTickMark val="out"/>
        <c:minorTickMark val="none"/>
        <c:tickLblPos val="nextTo"/>
        <c:txPr>
          <a:bodyPr/>
          <a:lstStyle/>
          <a:p>
            <a:pPr>
              <a:defRPr sz="1100">
                <a:latin typeface="Book Antiqua" panose="02040602050305030304" pitchFamily="18" charset="0"/>
              </a:defRPr>
            </a:pPr>
            <a:endParaRPr lang="sk-SK"/>
          </a:p>
        </c:txPr>
        <c:crossAx val="237779584"/>
        <c:crosses val="autoZero"/>
        <c:crossBetween val="between"/>
      </c:valAx>
      <c:spPr>
        <a:noFill/>
        <a:ln w="25400">
          <a:noFill/>
        </a:ln>
      </c:spPr>
    </c:plotArea>
    <c:plotVisOnly val="1"/>
    <c:dispBlanksAs val="gap"/>
    <c:showDLblsOverMax val="0"/>
  </c:chart>
  <c:spPr>
    <a:ln>
      <a:solidFill>
        <a:sysClr val="windowText" lastClr="000000"/>
      </a:solidFill>
    </a:ln>
    <a:scene3d>
      <a:camera prst="orthographicFront"/>
      <a:lightRig rig="threePt" dir="t"/>
    </a:scene3d>
    <a:sp3d>
      <a:bevelT w="12700"/>
    </a:sp3d>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2"/>
          <c:order val="0"/>
          <c:tx>
            <c:strRef>
              <c:f>PSD2014!$U$6</c:f>
              <c:strCache>
                <c:ptCount val="1"/>
                <c:pt idx="0">
                  <c:v>ženy</c:v>
                </c:pt>
              </c:strCache>
            </c:strRef>
          </c:tx>
          <c:spPr>
            <a:ln>
              <a:solidFill>
                <a:srgbClr val="FF0000"/>
              </a:solidFill>
            </a:ln>
          </c:spPr>
          <c:marker>
            <c:symbol val="none"/>
          </c:marker>
          <c:cat>
            <c:numRef>
              <c:f>PSD2014!$V$4:$AH$4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PSD2014!$V$6:$AH$6</c:f>
              <c:numCache>
                <c:formatCode>#,##0</c:formatCode>
                <c:ptCount val="13"/>
                <c:pt idx="0">
                  <c:v>8152</c:v>
                </c:pt>
                <c:pt idx="1">
                  <c:v>10184</c:v>
                </c:pt>
                <c:pt idx="2">
                  <c:v>14760</c:v>
                </c:pt>
                <c:pt idx="3">
                  <c:v>6369</c:v>
                </c:pt>
                <c:pt idx="4">
                  <c:v>11972</c:v>
                </c:pt>
                <c:pt idx="5">
                  <c:v>8208</c:v>
                </c:pt>
                <c:pt idx="6">
                  <c:v>13321</c:v>
                </c:pt>
                <c:pt idx="7">
                  <c:v>3069</c:v>
                </c:pt>
                <c:pt idx="8">
                  <c:v>4952</c:v>
                </c:pt>
                <c:pt idx="9">
                  <c:v>4559</c:v>
                </c:pt>
                <c:pt idx="10">
                  <c:v>4863</c:v>
                </c:pt>
                <c:pt idx="11">
                  <c:v>5188</c:v>
                </c:pt>
                <c:pt idx="12">
                  <c:v>5174</c:v>
                </c:pt>
              </c:numCache>
            </c:numRef>
          </c:val>
          <c:smooth val="0"/>
          <c:extLst>
            <c:ext xmlns:c16="http://schemas.microsoft.com/office/drawing/2014/chart" uri="{C3380CC4-5D6E-409C-BE32-E72D297353CC}">
              <c16:uniqueId val="{00000000-12AE-4A47-9ECB-4CCDD42920DD}"/>
            </c:ext>
          </c:extLst>
        </c:ser>
        <c:ser>
          <c:idx val="1"/>
          <c:order val="1"/>
          <c:tx>
            <c:strRef>
              <c:f>PSD2014!$U$5</c:f>
              <c:strCache>
                <c:ptCount val="1"/>
                <c:pt idx="0">
                  <c:v>muži</c:v>
                </c:pt>
              </c:strCache>
            </c:strRef>
          </c:tx>
          <c:spPr>
            <a:ln>
              <a:solidFill>
                <a:sysClr val="windowText" lastClr="000000"/>
              </a:solidFill>
            </a:ln>
          </c:spPr>
          <c:marker>
            <c:symbol val="none"/>
          </c:marker>
          <c:cat>
            <c:numRef>
              <c:f>PSD2014!$V$4:$AH$4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PSD2014!$V$5:$AH$5</c:f>
              <c:numCache>
                <c:formatCode>#,##0</c:formatCode>
                <c:ptCount val="13"/>
                <c:pt idx="0">
                  <c:v>9522</c:v>
                </c:pt>
                <c:pt idx="1">
                  <c:v>10842</c:v>
                </c:pt>
                <c:pt idx="2">
                  <c:v>23064</c:v>
                </c:pt>
                <c:pt idx="3">
                  <c:v>13303</c:v>
                </c:pt>
                <c:pt idx="4">
                  <c:v>18878</c:v>
                </c:pt>
                <c:pt idx="5">
                  <c:v>13194</c:v>
                </c:pt>
                <c:pt idx="6">
                  <c:v>16953</c:v>
                </c:pt>
                <c:pt idx="7">
                  <c:v>9604</c:v>
                </c:pt>
                <c:pt idx="8">
                  <c:v>11136</c:v>
                </c:pt>
                <c:pt idx="9">
                  <c:v>10394</c:v>
                </c:pt>
                <c:pt idx="10">
                  <c:v>10724</c:v>
                </c:pt>
                <c:pt idx="11">
                  <c:v>9174</c:v>
                </c:pt>
                <c:pt idx="12">
                  <c:v>10132</c:v>
                </c:pt>
              </c:numCache>
            </c:numRef>
          </c:val>
          <c:smooth val="0"/>
          <c:extLst>
            <c:ext xmlns:c16="http://schemas.microsoft.com/office/drawing/2014/chart" uri="{C3380CC4-5D6E-409C-BE32-E72D297353CC}">
              <c16:uniqueId val="{00000001-12AE-4A47-9ECB-4CCDD42920DD}"/>
            </c:ext>
          </c:extLst>
        </c:ser>
        <c:dLbls>
          <c:showLegendKey val="0"/>
          <c:showVal val="0"/>
          <c:showCatName val="0"/>
          <c:showSerName val="0"/>
          <c:showPercent val="0"/>
          <c:showBubbleSize val="0"/>
        </c:dLbls>
        <c:smooth val="0"/>
        <c:axId val="238626304"/>
        <c:axId val="238627840"/>
      </c:lineChart>
      <c:catAx>
        <c:axId val="238626304"/>
        <c:scaling>
          <c:orientation val="minMax"/>
        </c:scaling>
        <c:delete val="0"/>
        <c:axPos val="b"/>
        <c:numFmt formatCode="General" sourceLinked="1"/>
        <c:majorTickMark val="out"/>
        <c:minorTickMark val="none"/>
        <c:tickLblPos val="nextTo"/>
        <c:txPr>
          <a:bodyPr/>
          <a:lstStyle/>
          <a:p>
            <a:pPr>
              <a:defRPr>
                <a:latin typeface="Book Antiqua" panose="02040602050305030304" pitchFamily="18" charset="0"/>
              </a:defRPr>
            </a:pPr>
            <a:endParaRPr lang="sk-SK"/>
          </a:p>
        </c:txPr>
        <c:crossAx val="238627840"/>
        <c:crosses val="autoZero"/>
        <c:auto val="1"/>
        <c:lblAlgn val="ctr"/>
        <c:lblOffset val="100"/>
        <c:noMultiLvlLbl val="0"/>
      </c:catAx>
      <c:valAx>
        <c:axId val="238627840"/>
        <c:scaling>
          <c:orientation val="minMax"/>
        </c:scaling>
        <c:delete val="0"/>
        <c:axPos val="l"/>
        <c:majorGridlines>
          <c:spPr>
            <a:ln>
              <a:prstDash val="dash"/>
            </a:ln>
          </c:spPr>
        </c:majorGridlines>
        <c:numFmt formatCode="#,##0" sourceLinked="1"/>
        <c:majorTickMark val="out"/>
        <c:minorTickMark val="none"/>
        <c:tickLblPos val="nextTo"/>
        <c:txPr>
          <a:bodyPr/>
          <a:lstStyle/>
          <a:p>
            <a:pPr>
              <a:defRPr>
                <a:latin typeface="Book Antiqua" panose="02040602050305030304" pitchFamily="18" charset="0"/>
              </a:defRPr>
            </a:pPr>
            <a:endParaRPr lang="sk-SK"/>
          </a:p>
        </c:txPr>
        <c:crossAx val="238626304"/>
        <c:crosses val="autoZero"/>
        <c:crossBetween val="between"/>
      </c:valAx>
      <c:spPr>
        <a:solidFill>
          <a:sysClr val="window" lastClr="FFFFFF"/>
        </a:solidFill>
        <a:ln w="12700" cap="flat" cmpd="sng" algn="ctr">
          <a:solidFill>
            <a:sysClr val="windowText" lastClr="000000"/>
          </a:solidFill>
          <a:prstDash val="solid"/>
          <a:miter lim="800000"/>
        </a:ln>
        <a:effectLst/>
      </c:spPr>
    </c:plotArea>
    <c:legend>
      <c:legendPos val="b"/>
      <c:overlay val="0"/>
      <c:txPr>
        <a:bodyPr/>
        <a:lstStyle/>
        <a:p>
          <a:pPr>
            <a:defRPr>
              <a:latin typeface="Book Antiqua" panose="02040602050305030304" pitchFamily="18" charset="0"/>
            </a:defRPr>
          </a:pPr>
          <a:endParaRPr lang="sk-SK"/>
        </a:p>
      </c:txPr>
    </c:legend>
    <c:plotVisOnly val="1"/>
    <c:dispBlanksAs val="gap"/>
    <c:showDLblsOverMax val="0"/>
  </c:chart>
  <c:spPr>
    <a:solidFill>
      <a:sysClr val="window" lastClr="FFFFFF"/>
    </a:solidFill>
    <a:ln w="3175" cap="flat" cmpd="sng" algn="ctr">
      <a:solidFill>
        <a:sysClr val="windowText" lastClr="000000"/>
      </a:solidFill>
      <a:prstDash val="solid"/>
      <a:miter lim="800000"/>
    </a:ln>
    <a:effectLst/>
  </c:spPr>
  <c:txPr>
    <a:bodyPr/>
    <a:lstStyle/>
    <a:p>
      <a:pPr>
        <a:defRPr>
          <a:solidFill>
            <a:sysClr val="windowText" lastClr="000000"/>
          </a:solidFill>
          <a:latin typeface="+mn-lt"/>
          <a:ea typeface="+mn-ea"/>
          <a:cs typeface="+mn-cs"/>
        </a:defRPr>
      </a:pPr>
      <a:endParaRPr lang="sk-SK"/>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74766611620355994"/>
        </c:manualLayout>
      </c:layout>
      <c:lineChart>
        <c:grouping val="standard"/>
        <c:varyColors val="0"/>
        <c:ser>
          <c:idx val="3"/>
          <c:order val="0"/>
          <c:tx>
            <c:strRef>
              <c:f>'prehľad SD_PSD'!$B$8</c:f>
              <c:strCache>
                <c:ptCount val="1"/>
                <c:pt idx="0">
                  <c:v>muži starobný</c:v>
                </c:pt>
              </c:strCache>
            </c:strRef>
          </c:tx>
          <c:spPr>
            <a:ln w="22225">
              <a:solidFill>
                <a:srgbClr val="2C9ADC"/>
              </a:solidFill>
              <a:prstDash val="solid"/>
            </a:ln>
          </c:spPr>
          <c:marker>
            <c:symbol val="none"/>
          </c:marker>
          <c:cat>
            <c:numRef>
              <c:f>'prehľad SD_PSD'!$C$125:$O$125</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SD_PSD'!$C$8:$O$8</c:f>
              <c:numCache>
                <c:formatCode>General</c:formatCode>
                <c:ptCount val="13"/>
                <c:pt idx="0">
                  <c:v>5044</c:v>
                </c:pt>
                <c:pt idx="1">
                  <c:v>9152</c:v>
                </c:pt>
                <c:pt idx="2">
                  <c:v>3804</c:v>
                </c:pt>
                <c:pt idx="3">
                  <c:v>5177</c:v>
                </c:pt>
                <c:pt idx="4">
                  <c:v>6010</c:v>
                </c:pt>
                <c:pt idx="5">
                  <c:v>7322</c:v>
                </c:pt>
                <c:pt idx="6">
                  <c:v>6876</c:v>
                </c:pt>
                <c:pt idx="7">
                  <c:v>7134</c:v>
                </c:pt>
                <c:pt idx="8">
                  <c:v>9507</c:v>
                </c:pt>
                <c:pt idx="9">
                  <c:v>13584</c:v>
                </c:pt>
                <c:pt idx="10">
                  <c:v>16865</c:v>
                </c:pt>
                <c:pt idx="11">
                  <c:v>16418</c:v>
                </c:pt>
                <c:pt idx="12">
                  <c:v>19975</c:v>
                </c:pt>
              </c:numCache>
            </c:numRef>
          </c:val>
          <c:smooth val="0"/>
          <c:extLst>
            <c:ext xmlns:c16="http://schemas.microsoft.com/office/drawing/2014/chart" uri="{C3380CC4-5D6E-409C-BE32-E72D297353CC}">
              <c16:uniqueId val="{00000000-0743-4106-ABC1-B064FB36043F}"/>
            </c:ext>
          </c:extLst>
        </c:ser>
        <c:ser>
          <c:idx val="5"/>
          <c:order val="1"/>
          <c:tx>
            <c:strRef>
              <c:f>'prehľad SD_PSD'!$B$126</c:f>
              <c:strCache>
                <c:ptCount val="1"/>
                <c:pt idx="0">
                  <c:v>muži predčasný</c:v>
                </c:pt>
              </c:strCache>
            </c:strRef>
          </c:tx>
          <c:spPr>
            <a:ln w="22225">
              <a:solidFill>
                <a:sysClr val="windowText" lastClr="000000"/>
              </a:solidFill>
              <a:prstDash val="solid"/>
            </a:ln>
          </c:spPr>
          <c:marker>
            <c:symbol val="none"/>
          </c:marker>
          <c:cat>
            <c:numRef>
              <c:f>'prehľad SD_PSD'!$C$125:$O$125</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SD_PSD'!$C$126:$O$126</c:f>
              <c:numCache>
                <c:formatCode>General</c:formatCode>
                <c:ptCount val="13"/>
                <c:pt idx="0">
                  <c:v>9522</c:v>
                </c:pt>
                <c:pt idx="1">
                  <c:v>10842</c:v>
                </c:pt>
                <c:pt idx="2">
                  <c:v>23064</c:v>
                </c:pt>
                <c:pt idx="3">
                  <c:v>13303</c:v>
                </c:pt>
                <c:pt idx="4">
                  <c:v>18878</c:v>
                </c:pt>
                <c:pt idx="5">
                  <c:v>13194</c:v>
                </c:pt>
                <c:pt idx="6">
                  <c:v>16953</c:v>
                </c:pt>
                <c:pt idx="7">
                  <c:v>9604</c:v>
                </c:pt>
                <c:pt idx="8">
                  <c:v>11136</c:v>
                </c:pt>
                <c:pt idx="9">
                  <c:v>10394</c:v>
                </c:pt>
                <c:pt idx="10">
                  <c:v>10724</c:v>
                </c:pt>
                <c:pt idx="11">
                  <c:v>9174</c:v>
                </c:pt>
                <c:pt idx="12">
                  <c:v>10132</c:v>
                </c:pt>
              </c:numCache>
            </c:numRef>
          </c:val>
          <c:smooth val="0"/>
          <c:extLst>
            <c:ext xmlns:c16="http://schemas.microsoft.com/office/drawing/2014/chart" uri="{C3380CC4-5D6E-409C-BE32-E72D297353CC}">
              <c16:uniqueId val="{00000001-0743-4106-ABC1-B064FB36043F}"/>
            </c:ext>
          </c:extLst>
        </c:ser>
        <c:dLbls>
          <c:showLegendKey val="0"/>
          <c:showVal val="0"/>
          <c:showCatName val="0"/>
          <c:showSerName val="0"/>
          <c:showPercent val="0"/>
          <c:showBubbleSize val="0"/>
        </c:dLbls>
        <c:smooth val="0"/>
        <c:axId val="238681088"/>
        <c:axId val="239354624"/>
      </c:lineChart>
      <c:catAx>
        <c:axId val="238681088"/>
        <c:scaling>
          <c:orientation val="minMax"/>
        </c:scaling>
        <c:delete val="0"/>
        <c:axPos val="b"/>
        <c:numFmt formatCode="General" sourceLinked="0"/>
        <c:majorTickMark val="out"/>
        <c:minorTickMark val="none"/>
        <c:tickLblPos val="low"/>
        <c:txPr>
          <a:bodyPr rot="-5400000" vert="horz"/>
          <a:lstStyle/>
          <a:p>
            <a:pPr>
              <a:defRPr sz="900">
                <a:latin typeface="Book Antiqua" panose="02040602050305030304" pitchFamily="18" charset="0"/>
              </a:defRPr>
            </a:pPr>
            <a:endParaRPr lang="sk-SK"/>
          </a:p>
        </c:txPr>
        <c:crossAx val="239354624"/>
        <c:crosses val="autoZero"/>
        <c:auto val="1"/>
        <c:lblAlgn val="ctr"/>
        <c:lblOffset val="100"/>
        <c:noMultiLvlLbl val="0"/>
      </c:catAx>
      <c:valAx>
        <c:axId val="239354624"/>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sz="900">
                <a:latin typeface="Book Antiqua" panose="02040602050305030304" pitchFamily="18" charset="0"/>
              </a:defRPr>
            </a:pPr>
            <a:endParaRPr lang="sk-SK"/>
          </a:p>
        </c:txPr>
        <c:crossAx val="238681088"/>
        <c:crosses val="autoZero"/>
        <c:crossBetween val="between"/>
      </c:valAx>
    </c:plotArea>
    <c:legend>
      <c:legendPos val="l"/>
      <c:legendEntry>
        <c:idx val="1"/>
        <c:txPr>
          <a:bodyPr/>
          <a:lstStyle/>
          <a:p>
            <a:pPr>
              <a:defRPr sz="800">
                <a:latin typeface="Book Antiqua" panose="02040602050305030304" pitchFamily="18" charset="0"/>
              </a:defRPr>
            </a:pPr>
            <a:endParaRPr lang="sk-SK"/>
          </a:p>
        </c:txPr>
      </c:legendEntry>
      <c:layout>
        <c:manualLayout>
          <c:xMode val="edge"/>
          <c:yMode val="edge"/>
          <c:x val="0.44629633264292567"/>
          <c:y val="5.8224701079031785E-2"/>
          <c:w val="0.49806240090295878"/>
          <c:h val="0.23624963546223388"/>
        </c:manualLayout>
      </c:layout>
      <c:overlay val="1"/>
      <c:spPr>
        <a:noFill/>
      </c:spPr>
      <c:txPr>
        <a:bodyPr/>
        <a:lstStyle/>
        <a:p>
          <a:pPr>
            <a:defRPr sz="800">
              <a:latin typeface="Book Antiqua" panose="02040602050305030304" pitchFamily="18" charset="0"/>
            </a:defRPr>
          </a:pPr>
          <a:endParaRPr lang="sk-SK"/>
        </a:p>
      </c:txPr>
    </c:legend>
    <c:plotVisOnly val="1"/>
    <c:dispBlanksAs val="gap"/>
    <c:showDLblsOverMax val="0"/>
  </c:chart>
  <c:spPr>
    <a:ln>
      <a:noFill/>
    </a:ln>
  </c:spPr>
  <c:txPr>
    <a:bodyPr/>
    <a:lstStyle/>
    <a:p>
      <a:pPr>
        <a:defRPr sz="1000" b="0" i="0" u="none" strike="noStrike" baseline="0">
          <a:solidFill>
            <a:srgbClr val="000000"/>
          </a:solidFill>
          <a:latin typeface="Arial Narrow" pitchFamily="34" charset="0"/>
          <a:ea typeface="Calibri"/>
          <a:cs typeface="Calibri"/>
        </a:defRPr>
      </a:pPr>
      <a:endParaRPr lang="sk-SK"/>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73531236133159639"/>
        </c:manualLayout>
      </c:layout>
      <c:lineChart>
        <c:grouping val="standard"/>
        <c:varyColors val="0"/>
        <c:ser>
          <c:idx val="3"/>
          <c:order val="0"/>
          <c:tx>
            <c:strRef>
              <c:f>'prehľad SD_PSD'!$B$9</c:f>
              <c:strCache>
                <c:ptCount val="1"/>
                <c:pt idx="0">
                  <c:v>ženy starobný</c:v>
                </c:pt>
              </c:strCache>
            </c:strRef>
          </c:tx>
          <c:spPr>
            <a:ln w="22225">
              <a:solidFill>
                <a:srgbClr val="FF0000"/>
              </a:solidFill>
              <a:prstDash val="solid"/>
            </a:ln>
          </c:spPr>
          <c:marker>
            <c:symbol val="none"/>
          </c:marker>
          <c:cat>
            <c:numRef>
              <c:f>'prehľad SD_PSD'!$C$125:$O$125</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SD_PSD'!$C$9:$O$9</c:f>
              <c:numCache>
                <c:formatCode>General</c:formatCode>
                <c:ptCount val="13"/>
                <c:pt idx="0">
                  <c:v>8589</c:v>
                </c:pt>
                <c:pt idx="1">
                  <c:v>19546</c:v>
                </c:pt>
                <c:pt idx="2">
                  <c:v>9411</c:v>
                </c:pt>
                <c:pt idx="3">
                  <c:v>15819</c:v>
                </c:pt>
                <c:pt idx="4">
                  <c:v>12712</c:v>
                </c:pt>
                <c:pt idx="5">
                  <c:v>10155</c:v>
                </c:pt>
                <c:pt idx="6">
                  <c:v>12825</c:v>
                </c:pt>
                <c:pt idx="7">
                  <c:v>6421</c:v>
                </c:pt>
                <c:pt idx="8">
                  <c:v>17289</c:v>
                </c:pt>
                <c:pt idx="9">
                  <c:v>9249</c:v>
                </c:pt>
                <c:pt idx="10">
                  <c:v>18276</c:v>
                </c:pt>
                <c:pt idx="11">
                  <c:v>14621</c:v>
                </c:pt>
                <c:pt idx="12">
                  <c:v>15340</c:v>
                </c:pt>
              </c:numCache>
            </c:numRef>
          </c:val>
          <c:smooth val="0"/>
          <c:extLst>
            <c:ext xmlns:c16="http://schemas.microsoft.com/office/drawing/2014/chart" uri="{C3380CC4-5D6E-409C-BE32-E72D297353CC}">
              <c16:uniqueId val="{00000000-27E1-4C80-8EB2-89038C187486}"/>
            </c:ext>
          </c:extLst>
        </c:ser>
        <c:ser>
          <c:idx val="5"/>
          <c:order val="1"/>
          <c:tx>
            <c:strRef>
              <c:f>'prehľad SD_PSD'!$B$127</c:f>
              <c:strCache>
                <c:ptCount val="1"/>
                <c:pt idx="0">
                  <c:v>ženy predčasný</c:v>
                </c:pt>
              </c:strCache>
            </c:strRef>
          </c:tx>
          <c:spPr>
            <a:ln w="22225">
              <a:solidFill>
                <a:srgbClr val="F79646">
                  <a:lumMod val="75000"/>
                </a:srgbClr>
              </a:solidFill>
              <a:prstDash val="solid"/>
            </a:ln>
          </c:spPr>
          <c:marker>
            <c:symbol val="none"/>
          </c:marker>
          <c:cat>
            <c:numRef>
              <c:f>'prehľad SD_PSD'!$C$125:$O$125</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'prehľad SD_PSD'!$C$127:$O$127</c:f>
              <c:numCache>
                <c:formatCode>General</c:formatCode>
                <c:ptCount val="13"/>
                <c:pt idx="0">
                  <c:v>8152</c:v>
                </c:pt>
                <c:pt idx="1">
                  <c:v>10184</c:v>
                </c:pt>
                <c:pt idx="2">
                  <c:v>14760</c:v>
                </c:pt>
                <c:pt idx="3">
                  <c:v>6369</c:v>
                </c:pt>
                <c:pt idx="4">
                  <c:v>11972</c:v>
                </c:pt>
                <c:pt idx="5">
                  <c:v>8208</c:v>
                </c:pt>
                <c:pt idx="6">
                  <c:v>13321</c:v>
                </c:pt>
                <c:pt idx="7">
                  <c:v>3069</c:v>
                </c:pt>
                <c:pt idx="8">
                  <c:v>4952</c:v>
                </c:pt>
                <c:pt idx="9">
                  <c:v>4559</c:v>
                </c:pt>
                <c:pt idx="10">
                  <c:v>4863</c:v>
                </c:pt>
                <c:pt idx="11">
                  <c:v>5188</c:v>
                </c:pt>
                <c:pt idx="12">
                  <c:v>5174</c:v>
                </c:pt>
              </c:numCache>
            </c:numRef>
          </c:val>
          <c:smooth val="0"/>
          <c:extLst>
            <c:ext xmlns:c16="http://schemas.microsoft.com/office/drawing/2014/chart" uri="{C3380CC4-5D6E-409C-BE32-E72D297353CC}">
              <c16:uniqueId val="{00000001-27E1-4C80-8EB2-89038C187486}"/>
            </c:ext>
          </c:extLst>
        </c:ser>
        <c:dLbls>
          <c:showLegendKey val="0"/>
          <c:showVal val="0"/>
          <c:showCatName val="0"/>
          <c:showSerName val="0"/>
          <c:showPercent val="0"/>
          <c:showBubbleSize val="0"/>
        </c:dLbls>
        <c:smooth val="0"/>
        <c:axId val="239400448"/>
        <c:axId val="239401984"/>
      </c:lineChart>
      <c:catAx>
        <c:axId val="239400448"/>
        <c:scaling>
          <c:orientation val="minMax"/>
        </c:scaling>
        <c:delete val="0"/>
        <c:axPos val="b"/>
        <c:numFmt formatCode="General" sourceLinked="0"/>
        <c:majorTickMark val="out"/>
        <c:minorTickMark val="none"/>
        <c:tickLblPos val="low"/>
        <c:txPr>
          <a:bodyPr rot="-5400000" vert="horz"/>
          <a:lstStyle/>
          <a:p>
            <a:pPr>
              <a:defRPr sz="900">
                <a:latin typeface="Book Antiqua" panose="02040602050305030304" pitchFamily="18" charset="0"/>
              </a:defRPr>
            </a:pPr>
            <a:endParaRPr lang="sk-SK"/>
          </a:p>
        </c:txPr>
        <c:crossAx val="239401984"/>
        <c:crosses val="autoZero"/>
        <c:auto val="1"/>
        <c:lblAlgn val="ctr"/>
        <c:lblOffset val="100"/>
        <c:noMultiLvlLbl val="0"/>
      </c:catAx>
      <c:valAx>
        <c:axId val="239401984"/>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sz="900">
                <a:latin typeface="Book Antiqua" panose="02040602050305030304" pitchFamily="18" charset="0"/>
              </a:defRPr>
            </a:pPr>
            <a:endParaRPr lang="sk-SK"/>
          </a:p>
        </c:txPr>
        <c:crossAx val="239400448"/>
        <c:crosses val="autoZero"/>
        <c:crossBetween val="between"/>
      </c:valAx>
    </c:plotArea>
    <c:legend>
      <c:legendPos val="l"/>
      <c:legendEntry>
        <c:idx val="1"/>
        <c:txPr>
          <a:bodyPr/>
          <a:lstStyle/>
          <a:p>
            <a:pPr>
              <a:defRPr sz="800">
                <a:latin typeface="Book Antiqua" panose="02040602050305030304" pitchFamily="18" charset="0"/>
              </a:defRPr>
            </a:pPr>
            <a:endParaRPr lang="sk-SK"/>
          </a:p>
        </c:txPr>
      </c:legendEntry>
      <c:layout>
        <c:manualLayout>
          <c:xMode val="edge"/>
          <c:yMode val="edge"/>
          <c:x val="0.15"/>
          <c:y val="4.4335812190142931E-2"/>
          <c:w val="0.79806895324525118"/>
          <c:h val="0.19509512923787756"/>
        </c:manualLayout>
      </c:layout>
      <c:overlay val="1"/>
      <c:spPr>
        <a:noFill/>
      </c:spPr>
      <c:txPr>
        <a:bodyPr/>
        <a:lstStyle/>
        <a:p>
          <a:pPr>
            <a:defRPr sz="800">
              <a:latin typeface="Book Antiqua" panose="02040602050305030304" pitchFamily="18" charset="0"/>
            </a:defRPr>
          </a:pPr>
          <a:endParaRPr lang="sk-SK"/>
        </a:p>
      </c:txPr>
    </c:legend>
    <c:plotVisOnly val="1"/>
    <c:dispBlanksAs val="gap"/>
    <c:showDLblsOverMax val="0"/>
  </c:chart>
  <c:spPr>
    <a:ln>
      <a:noFill/>
    </a:ln>
  </c:spPr>
  <c:txPr>
    <a:bodyPr/>
    <a:lstStyle/>
    <a:p>
      <a:pPr>
        <a:defRPr sz="1000" b="0" i="0" u="none" strike="noStrike" baseline="0">
          <a:solidFill>
            <a:srgbClr val="000000"/>
          </a:solidFill>
          <a:latin typeface="Arial Narrow" pitchFamily="34" charset="0"/>
          <a:ea typeface="Calibri"/>
          <a:cs typeface="Calibri"/>
        </a:defRPr>
      </a:pPr>
      <a:endParaRPr lang="sk-SK"/>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'dôchodky 16'!$AQ$33</c:f>
              <c:strCache>
                <c:ptCount val="1"/>
                <c:pt idx="0">
                  <c:v>Počet vyplácaných PSD k 31. 12.</c:v>
                </c:pt>
              </c:strCache>
            </c:strRef>
          </c:tx>
          <c:spPr>
            <a:ln>
              <a:solidFill>
                <a:srgbClr val="FF0000"/>
              </a:solidFill>
            </a:ln>
          </c:spPr>
          <c:marker>
            <c:symbol val="none"/>
          </c:marker>
          <c:cat>
            <c:numRef>
              <c:f>'dôchodky 16'!$AR$32:$BD$32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'dôchodky 16'!$AR$33:$BD$33</c:f>
              <c:numCache>
                <c:formatCode>#,##0</c:formatCode>
                <c:ptCount val="13"/>
                <c:pt idx="0">
                  <c:v>12668</c:v>
                </c:pt>
                <c:pt idx="1">
                  <c:v>16721</c:v>
                </c:pt>
                <c:pt idx="2">
                  <c:v>44693</c:v>
                </c:pt>
                <c:pt idx="3">
                  <c:v>48225</c:v>
                </c:pt>
                <c:pt idx="4">
                  <c:v>56142</c:v>
                </c:pt>
                <c:pt idx="5">
                  <c:v>56352</c:v>
                </c:pt>
                <c:pt idx="6">
                  <c:v>47893</c:v>
                </c:pt>
                <c:pt idx="7">
                  <c:v>32130</c:v>
                </c:pt>
                <c:pt idx="8">
                  <c:v>24404</c:v>
                </c:pt>
                <c:pt idx="9">
                  <c:v>21935</c:v>
                </c:pt>
                <c:pt idx="10">
                  <c:v>21348</c:v>
                </c:pt>
                <c:pt idx="11">
                  <c:v>18351</c:v>
                </c:pt>
                <c:pt idx="12">
                  <c:v>20232</c:v>
                </c:pt>
              </c:numCache>
            </c:numRef>
          </c:val>
          <c:smooth val="0"/>
          <c:extLst>
            <c:ext xmlns:c16="http://schemas.microsoft.com/office/drawing/2014/chart" uri="{C3380CC4-5D6E-409C-BE32-E72D297353CC}">
              <c16:uniqueId val="{00000000-F774-4B44-9620-E2844709ED9D}"/>
            </c:ext>
          </c:extLst>
        </c:ser>
        <c:dLbls>
          <c:showLegendKey val="0"/>
          <c:showVal val="0"/>
          <c:showCatName val="0"/>
          <c:showSerName val="0"/>
          <c:showPercent val="0"/>
          <c:showBubbleSize val="0"/>
        </c:dLbls>
        <c:smooth val="0"/>
        <c:axId val="239422464"/>
        <c:axId val="239432448"/>
      </c:lineChart>
      <c:catAx>
        <c:axId val="239422464"/>
        <c:scaling>
          <c:orientation val="minMax"/>
        </c:scaling>
        <c:delete val="0"/>
        <c:axPos val="b"/>
        <c:numFmt formatCode="General" sourceLinked="1"/>
        <c:majorTickMark val="out"/>
        <c:minorTickMark val="none"/>
        <c:tickLblPos val="nextTo"/>
        <c:txPr>
          <a:bodyPr/>
          <a:lstStyle/>
          <a:p>
            <a:pPr>
              <a:defRPr>
                <a:latin typeface="Book Antiqua" panose="02040602050305030304" pitchFamily="18" charset="0"/>
              </a:defRPr>
            </a:pPr>
            <a:endParaRPr lang="sk-SK"/>
          </a:p>
        </c:txPr>
        <c:crossAx val="239432448"/>
        <c:crosses val="autoZero"/>
        <c:auto val="1"/>
        <c:lblAlgn val="ctr"/>
        <c:lblOffset val="100"/>
        <c:noMultiLvlLbl val="0"/>
      </c:catAx>
      <c:valAx>
        <c:axId val="239432448"/>
        <c:scaling>
          <c:orientation val="minMax"/>
        </c:scaling>
        <c:delete val="0"/>
        <c:axPos val="l"/>
        <c:majorGridlines>
          <c:spPr>
            <a:ln>
              <a:prstDash val="dash"/>
            </a:ln>
          </c:spPr>
        </c:majorGridlines>
        <c:numFmt formatCode="#,##0" sourceLinked="1"/>
        <c:majorTickMark val="out"/>
        <c:minorTickMark val="none"/>
        <c:tickLblPos val="nextTo"/>
        <c:txPr>
          <a:bodyPr/>
          <a:lstStyle/>
          <a:p>
            <a:pPr>
              <a:defRPr>
                <a:latin typeface="Book Antiqua" panose="02040602050305030304" pitchFamily="18" charset="0"/>
              </a:defRPr>
            </a:pPr>
            <a:endParaRPr lang="sk-SK"/>
          </a:p>
        </c:txPr>
        <c:crossAx val="239422464"/>
        <c:crosses val="autoZero"/>
        <c:crossBetween val="between"/>
      </c:valAx>
      <c:spPr>
        <a:solidFill>
          <a:sysClr val="window" lastClr="FFFFFF"/>
        </a:solidFill>
        <a:ln w="12700" cap="flat" cmpd="sng" algn="ctr">
          <a:solidFill>
            <a:sysClr val="windowText" lastClr="000000"/>
          </a:solidFill>
          <a:prstDash val="solid"/>
          <a:miter lim="800000"/>
        </a:ln>
        <a:effectLst/>
      </c:spPr>
    </c:plotArea>
    <c:legend>
      <c:legendPos val="b"/>
      <c:overlay val="0"/>
      <c:txPr>
        <a:bodyPr/>
        <a:lstStyle/>
        <a:p>
          <a:pPr>
            <a:defRPr>
              <a:latin typeface="Book Antiqua" panose="02040602050305030304" pitchFamily="18" charset="0"/>
            </a:defRPr>
          </a:pPr>
          <a:endParaRPr lang="sk-SK"/>
        </a:p>
      </c:txPr>
    </c:legend>
    <c:plotVisOnly val="1"/>
    <c:dispBlanksAs val="gap"/>
    <c:showDLblsOverMax val="0"/>
  </c:chart>
  <c:spPr>
    <a:solidFill>
      <a:sysClr val="window" lastClr="FFFFFF"/>
    </a:solidFill>
    <a:ln w="3175" cap="flat" cmpd="sng" algn="ctr">
      <a:solidFill>
        <a:sysClr val="windowText" lastClr="000000"/>
      </a:solidFill>
      <a:prstDash val="solid"/>
      <a:miter lim="800000"/>
    </a:ln>
    <a:effectLst/>
  </c:spPr>
  <c:txPr>
    <a:bodyPr/>
    <a:lstStyle/>
    <a:p>
      <a:pPr>
        <a:defRPr>
          <a:solidFill>
            <a:sysClr val="windowText" lastClr="000000"/>
          </a:solidFill>
          <a:latin typeface="+mn-lt"/>
          <a:ea typeface="+mn-ea"/>
          <a:cs typeface="+mn-cs"/>
        </a:defRPr>
      </a:pPr>
      <a:endParaRPr lang="sk-SK"/>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708573928258967"/>
          <c:y val="0.10423730995889664"/>
          <c:w val="0.73046473151252134"/>
          <c:h val="0.74070895854999252"/>
        </c:manualLayout>
      </c:layout>
      <c:bar3DChart>
        <c:barDir val="col"/>
        <c:grouping val="clustered"/>
        <c:varyColors val="0"/>
        <c:ser>
          <c:idx val="0"/>
          <c:order val="0"/>
          <c:tx>
            <c:strRef>
              <c:f>Hárok1!$B$4</c:f>
              <c:strCache>
                <c:ptCount val="1"/>
                <c:pt idx="0">
                  <c:v>v mil. eur</c:v>
                </c:pt>
              </c:strCache>
            </c:strRef>
          </c:tx>
          <c:invertIfNegative val="0"/>
          <c:cat>
            <c:numRef>
              <c:f>Hárok1!$C$3:$O$3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Hárok1!$C$4:$O$4</c:f>
              <c:numCache>
                <c:formatCode>0.0</c:formatCode>
                <c:ptCount val="13"/>
                <c:pt idx="0">
                  <c:v>17.419836685919137</c:v>
                </c:pt>
                <c:pt idx="1">
                  <c:v>46.272953594901409</c:v>
                </c:pt>
                <c:pt idx="2">
                  <c:v>119.92843391090753</c:v>
                </c:pt>
                <c:pt idx="3">
                  <c:v>161.77242249219944</c:v>
                </c:pt>
                <c:pt idx="4">
                  <c:v>218.70467370377747</c:v>
                </c:pt>
                <c:pt idx="5">
                  <c:v>240.23</c:v>
                </c:pt>
                <c:pt idx="6">
                  <c:v>239.84700000000001</c:v>
                </c:pt>
                <c:pt idx="7">
                  <c:v>172.51499999999999</c:v>
                </c:pt>
                <c:pt idx="8">
                  <c:v>128.03200000000001</c:v>
                </c:pt>
                <c:pt idx="9">
                  <c:v>117.64400000000001</c:v>
                </c:pt>
                <c:pt idx="10">
                  <c:v>102.89</c:v>
                </c:pt>
                <c:pt idx="11">
                  <c:v>101.88500000000001</c:v>
                </c:pt>
                <c:pt idx="12">
                  <c:v>104.57599999999999</c:v>
                </c:pt>
              </c:numCache>
            </c:numRef>
          </c:val>
          <c:extLst>
            <c:ext xmlns:c16="http://schemas.microsoft.com/office/drawing/2014/chart" uri="{C3380CC4-5D6E-409C-BE32-E72D297353CC}">
              <c16:uniqueId val="{00000000-13A0-4337-B08C-AC8E6B96EC53}"/>
            </c:ext>
          </c:extLst>
        </c:ser>
        <c:dLbls>
          <c:showLegendKey val="0"/>
          <c:showVal val="0"/>
          <c:showCatName val="0"/>
          <c:showSerName val="0"/>
          <c:showPercent val="0"/>
          <c:showBubbleSize val="0"/>
        </c:dLbls>
        <c:gapWidth val="150"/>
        <c:shape val="box"/>
        <c:axId val="239457408"/>
        <c:axId val="239458944"/>
        <c:axId val="0"/>
      </c:bar3DChart>
      <c:catAx>
        <c:axId val="239457408"/>
        <c:scaling>
          <c:orientation val="minMax"/>
        </c:scaling>
        <c:delete val="0"/>
        <c:axPos val="b"/>
        <c:numFmt formatCode="General" sourceLinked="1"/>
        <c:majorTickMark val="out"/>
        <c:minorTickMark val="none"/>
        <c:tickLblPos val="nextTo"/>
        <c:txPr>
          <a:bodyPr/>
          <a:lstStyle/>
          <a:p>
            <a:pPr>
              <a:defRPr>
                <a:latin typeface="Book Antiqua" panose="02040602050305030304" pitchFamily="18" charset="0"/>
              </a:defRPr>
            </a:pPr>
            <a:endParaRPr lang="sk-SK"/>
          </a:p>
        </c:txPr>
        <c:crossAx val="239458944"/>
        <c:crosses val="autoZero"/>
        <c:auto val="1"/>
        <c:lblAlgn val="ctr"/>
        <c:lblOffset val="100"/>
        <c:noMultiLvlLbl val="0"/>
      </c:catAx>
      <c:valAx>
        <c:axId val="239458944"/>
        <c:scaling>
          <c:orientation val="minMax"/>
        </c:scaling>
        <c:delete val="0"/>
        <c:axPos val="l"/>
        <c:majorGridlines/>
        <c:numFmt formatCode="0" sourceLinked="0"/>
        <c:majorTickMark val="out"/>
        <c:minorTickMark val="none"/>
        <c:tickLblPos val="nextTo"/>
        <c:txPr>
          <a:bodyPr/>
          <a:lstStyle/>
          <a:p>
            <a:pPr>
              <a:defRPr>
                <a:latin typeface="Book Antiqua" panose="02040602050305030304" pitchFamily="18" charset="0"/>
              </a:defRPr>
            </a:pPr>
            <a:endParaRPr lang="sk-SK"/>
          </a:p>
        </c:txPr>
        <c:crossAx val="239457408"/>
        <c:crosses val="autoZero"/>
        <c:crossBetween val="between"/>
      </c:valAx>
    </c:plotArea>
    <c:legend>
      <c:legendPos val="r"/>
      <c:layout>
        <c:manualLayout>
          <c:xMode val="edge"/>
          <c:yMode val="edge"/>
          <c:x val="0.79461864296665885"/>
          <c:y val="0.48354658792650917"/>
          <c:w val="0.18871477698950997"/>
          <c:h val="0.13001348789734615"/>
        </c:manualLayout>
      </c:layout>
      <c:overlay val="0"/>
      <c:txPr>
        <a:bodyPr/>
        <a:lstStyle/>
        <a:p>
          <a:pPr>
            <a:defRPr>
              <a:latin typeface="Book Antiqua" panose="02040602050305030304" pitchFamily="18" charset="0"/>
            </a:defRPr>
          </a:pPr>
          <a:endParaRPr lang="sk-SK"/>
        </a:p>
      </c:txPr>
    </c:legend>
    <c:plotVisOnly val="1"/>
    <c:dispBlanksAs val="gap"/>
    <c:showDLblsOverMax val="0"/>
  </c:chart>
  <c:spPr>
    <a:ln>
      <a:solidFill>
        <a:schemeClr val="tx1"/>
      </a:solidFill>
    </a:ln>
  </c:spPr>
  <c:externalData r:id="rId2">
    <c:autoUpdate val="0"/>
  </c:externalData>
</c:chartSpac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87</Pages>
  <Words>29421</Words>
  <Characters>167704</Characters>
  <Application>Microsoft Office Word</Application>
  <DocSecurity>0</DocSecurity>
  <Lines>1397</Lines>
  <Paragraphs>393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Kurucová</dc:creator>
  <cp:keywords/>
  <dc:description/>
  <cp:lastModifiedBy>Eva Kurucová</cp:lastModifiedBy>
  <cp:revision>1</cp:revision>
  <dcterms:created xsi:type="dcterms:W3CDTF">2018-10-26T07:40:00Z</dcterms:created>
  <dcterms:modified xsi:type="dcterms:W3CDTF">2018-10-26T07:42:00Z</dcterms:modified>
</cp:coreProperties>
</file>